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1280" w:firstLineChars="400"/>
        <w:rPr>
          <w:rFonts w:ascii="仿宋" w:hAnsi="仿宋" w:eastAsia="仿宋"/>
          <w:sz w:val="32"/>
          <w:szCs w:val="32"/>
        </w:rPr>
      </w:pPr>
    </w:p>
    <w:p>
      <w:pPr>
        <w:spacing w:line="560" w:lineRule="exact"/>
        <w:ind w:firstLine="1280" w:firstLineChars="400"/>
        <w:rPr>
          <w:rFonts w:ascii="仿宋" w:hAnsi="仿宋" w:eastAsia="仿宋"/>
          <w:sz w:val="32"/>
          <w:szCs w:val="32"/>
        </w:rPr>
      </w:pPr>
    </w:p>
    <w:p>
      <w:pPr>
        <w:spacing w:line="560" w:lineRule="exact"/>
        <w:ind w:firstLine="1280" w:firstLineChars="400"/>
        <w:rPr>
          <w:rFonts w:ascii="仿宋" w:hAnsi="仿宋" w:eastAsia="仿宋"/>
          <w:sz w:val="32"/>
          <w:szCs w:val="32"/>
        </w:rPr>
      </w:pPr>
    </w:p>
    <w:p>
      <w:pPr>
        <w:spacing w:line="560" w:lineRule="exact"/>
        <w:ind w:firstLine="1280" w:firstLineChars="400"/>
        <w:rPr>
          <w:rFonts w:ascii="仿宋" w:hAnsi="仿宋" w:eastAsia="仿宋"/>
          <w:sz w:val="32"/>
          <w:szCs w:val="32"/>
        </w:rPr>
      </w:pPr>
    </w:p>
    <w:p>
      <w:pPr>
        <w:spacing w:line="640" w:lineRule="exact"/>
        <w:ind w:firstLine="2080" w:firstLineChars="400"/>
        <w:rPr>
          <w:rFonts w:ascii="仿宋" w:hAnsi="仿宋" w:eastAsia="仿宋"/>
          <w:sz w:val="52"/>
          <w:szCs w:val="52"/>
        </w:rPr>
      </w:pPr>
    </w:p>
    <w:p>
      <w:pPr>
        <w:spacing w:line="760" w:lineRule="exact"/>
        <w:ind w:firstLine="520" w:firstLineChars="100"/>
        <w:jc w:val="center"/>
        <w:rPr>
          <w:rFonts w:ascii="仿宋" w:hAnsi="仿宋" w:eastAsia="仿宋"/>
          <w:sz w:val="52"/>
          <w:szCs w:val="52"/>
        </w:rPr>
      </w:pPr>
      <w:r>
        <w:rPr>
          <w:rFonts w:hint="eastAsia" w:ascii="仿宋" w:hAnsi="仿宋" w:eastAsia="仿宋"/>
          <w:sz w:val="52"/>
          <w:szCs w:val="52"/>
        </w:rPr>
        <w:t>阿坝州公安局交警支队</w:t>
      </w:r>
    </w:p>
    <w:p>
      <w:pPr>
        <w:spacing w:line="760" w:lineRule="exact"/>
        <w:ind w:firstLine="520" w:firstLineChars="100"/>
        <w:jc w:val="center"/>
        <w:rPr>
          <w:rFonts w:ascii="仿宋" w:hAnsi="仿宋" w:eastAsia="仿宋"/>
          <w:sz w:val="52"/>
          <w:szCs w:val="52"/>
        </w:rPr>
      </w:pPr>
      <w:r>
        <w:rPr>
          <w:rFonts w:hint="eastAsia" w:ascii="仿宋" w:hAnsi="仿宋" w:eastAsia="仿宋"/>
          <w:sz w:val="52"/>
          <w:szCs w:val="52"/>
        </w:rPr>
        <w:t>202</w:t>
      </w:r>
      <w:r>
        <w:rPr>
          <w:rFonts w:ascii="仿宋" w:hAnsi="仿宋" w:eastAsia="仿宋"/>
          <w:sz w:val="52"/>
          <w:szCs w:val="52"/>
        </w:rPr>
        <w:t>1</w:t>
      </w:r>
      <w:r>
        <w:rPr>
          <w:rFonts w:hint="eastAsia" w:ascii="仿宋" w:hAnsi="仿宋" w:eastAsia="仿宋"/>
          <w:sz w:val="52"/>
          <w:szCs w:val="52"/>
        </w:rPr>
        <w:t>年部门预算</w:t>
      </w:r>
    </w:p>
    <w:p>
      <w:pPr>
        <w:spacing w:line="640" w:lineRule="exact"/>
        <w:ind w:firstLine="2080" w:firstLineChars="400"/>
        <w:rPr>
          <w:rFonts w:ascii="仿宋" w:hAnsi="仿宋" w:eastAsia="仿宋"/>
          <w:sz w:val="52"/>
          <w:szCs w:val="52"/>
        </w:rPr>
      </w:pPr>
    </w:p>
    <w:p>
      <w:pPr>
        <w:spacing w:line="640" w:lineRule="exact"/>
        <w:ind w:firstLine="2080" w:firstLineChars="400"/>
        <w:rPr>
          <w:rFonts w:ascii="仿宋" w:hAnsi="仿宋" w:eastAsia="仿宋"/>
          <w:sz w:val="52"/>
          <w:szCs w:val="52"/>
        </w:rPr>
      </w:pPr>
    </w:p>
    <w:p>
      <w:pPr>
        <w:spacing w:line="640" w:lineRule="exact"/>
        <w:ind w:firstLine="2080" w:firstLineChars="400"/>
        <w:rPr>
          <w:rFonts w:ascii="仿宋" w:hAnsi="仿宋" w:eastAsia="仿宋"/>
          <w:sz w:val="52"/>
          <w:szCs w:val="52"/>
        </w:rPr>
      </w:pPr>
    </w:p>
    <w:p>
      <w:pPr>
        <w:spacing w:line="560" w:lineRule="exact"/>
        <w:ind w:firstLine="1280" w:firstLineChars="400"/>
        <w:rPr>
          <w:rFonts w:ascii="仿宋" w:hAnsi="仿宋" w:eastAsia="仿宋"/>
          <w:sz w:val="32"/>
          <w:szCs w:val="32"/>
        </w:rPr>
      </w:pPr>
    </w:p>
    <w:p>
      <w:pPr>
        <w:spacing w:line="560" w:lineRule="exact"/>
        <w:ind w:firstLine="1280" w:firstLineChars="400"/>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ind w:firstLine="3040" w:firstLineChars="950"/>
        <w:rPr>
          <w:rFonts w:ascii="仿宋" w:hAnsi="仿宋" w:eastAsia="仿宋"/>
          <w:sz w:val="32"/>
          <w:szCs w:val="32"/>
        </w:rPr>
      </w:pPr>
      <w:r>
        <w:rPr>
          <w:rFonts w:hint="eastAsia" w:ascii="仿宋" w:hAnsi="仿宋" w:eastAsia="仿宋"/>
          <w:sz w:val="32"/>
          <w:szCs w:val="32"/>
        </w:rPr>
        <w:t>202</w:t>
      </w:r>
      <w:r>
        <w:rPr>
          <w:rFonts w:ascii="仿宋" w:hAnsi="仿宋" w:eastAsia="仿宋"/>
          <w:sz w:val="32"/>
          <w:szCs w:val="32"/>
        </w:rPr>
        <w:t>1</w:t>
      </w:r>
      <w:r>
        <w:rPr>
          <w:rFonts w:hint="eastAsia" w:ascii="仿宋" w:hAnsi="仿宋" w:eastAsia="仿宋"/>
          <w:sz w:val="32"/>
          <w:szCs w:val="32"/>
        </w:rPr>
        <w:t xml:space="preserve">年 2月 </w:t>
      </w:r>
      <w:r>
        <w:rPr>
          <w:rFonts w:hint="eastAsia" w:ascii="仿宋" w:hAnsi="仿宋" w:eastAsia="仿宋"/>
          <w:sz w:val="32"/>
          <w:szCs w:val="32"/>
          <w:lang w:val="en-US" w:eastAsia="zh-CN"/>
        </w:rPr>
        <w:t>5</w:t>
      </w:r>
      <w:bookmarkStart w:id="0" w:name="_GoBack"/>
      <w:bookmarkEnd w:id="0"/>
      <w:r>
        <w:rPr>
          <w:rFonts w:hint="eastAsia" w:ascii="仿宋" w:hAnsi="仿宋" w:eastAsia="仿宋"/>
          <w:sz w:val="32"/>
          <w:szCs w:val="32"/>
        </w:rPr>
        <w:t xml:space="preserve"> 日</w:t>
      </w:r>
    </w:p>
    <w:p>
      <w:pPr>
        <w:spacing w:line="560" w:lineRule="exact"/>
        <w:ind w:firstLine="1280" w:firstLineChars="400"/>
        <w:rPr>
          <w:rFonts w:ascii="仿宋" w:hAnsi="仿宋" w:eastAsia="仿宋"/>
          <w:sz w:val="32"/>
          <w:szCs w:val="32"/>
        </w:rPr>
      </w:pPr>
    </w:p>
    <w:p>
      <w:pPr>
        <w:spacing w:line="560" w:lineRule="exact"/>
        <w:ind w:firstLine="1280" w:firstLineChars="400"/>
        <w:rPr>
          <w:rFonts w:ascii="仿宋" w:hAnsi="仿宋" w:eastAsia="仿宋"/>
          <w:sz w:val="32"/>
          <w:szCs w:val="32"/>
        </w:rPr>
      </w:pPr>
    </w:p>
    <w:p>
      <w:pPr>
        <w:spacing w:line="560" w:lineRule="exact"/>
        <w:ind w:firstLine="1280" w:firstLineChars="400"/>
        <w:rPr>
          <w:rFonts w:ascii="仿宋" w:hAnsi="仿宋" w:eastAsia="仿宋"/>
          <w:sz w:val="32"/>
          <w:szCs w:val="32"/>
        </w:rPr>
      </w:pPr>
    </w:p>
    <w:p>
      <w:pPr>
        <w:spacing w:line="560" w:lineRule="exact"/>
        <w:ind w:firstLine="1280" w:firstLineChars="400"/>
        <w:rPr>
          <w:rFonts w:ascii="仿宋" w:hAnsi="仿宋" w:eastAsia="仿宋"/>
          <w:sz w:val="32"/>
          <w:szCs w:val="32"/>
        </w:rPr>
      </w:pPr>
    </w:p>
    <w:p>
      <w:pPr>
        <w:spacing w:line="560" w:lineRule="exact"/>
        <w:ind w:firstLine="1280" w:firstLineChars="400"/>
        <w:rPr>
          <w:rFonts w:ascii="仿宋" w:hAnsi="仿宋" w:eastAsia="仿宋"/>
          <w:sz w:val="32"/>
          <w:szCs w:val="32"/>
        </w:rPr>
      </w:pPr>
    </w:p>
    <w:p>
      <w:pPr>
        <w:spacing w:line="560" w:lineRule="exact"/>
        <w:ind w:firstLine="1280" w:firstLineChars="400"/>
        <w:rPr>
          <w:rFonts w:ascii="仿宋" w:hAnsi="仿宋" w:eastAsia="仿宋"/>
          <w:sz w:val="32"/>
          <w:szCs w:val="32"/>
        </w:rPr>
      </w:pPr>
    </w:p>
    <w:p>
      <w:pPr>
        <w:spacing w:line="560" w:lineRule="exact"/>
        <w:rPr>
          <w:rFonts w:ascii="仿宋" w:hAnsi="仿宋" w:eastAsia="仿宋"/>
          <w:sz w:val="32"/>
          <w:szCs w:val="32"/>
        </w:rPr>
      </w:pPr>
    </w:p>
    <w:p>
      <w:pPr>
        <w:spacing w:line="560" w:lineRule="exact"/>
        <w:ind w:left="563" w:hanging="563" w:hangingChars="128"/>
        <w:jc w:val="center"/>
        <w:rPr>
          <w:rFonts w:ascii="仿宋" w:hAnsi="仿宋" w:eastAsia="仿宋"/>
          <w:sz w:val="44"/>
          <w:szCs w:val="44"/>
        </w:rPr>
      </w:pPr>
      <w:r>
        <w:rPr>
          <w:rFonts w:hint="eastAsia" w:ascii="仿宋" w:hAnsi="仿宋" w:eastAsia="仿宋"/>
          <w:sz w:val="44"/>
          <w:szCs w:val="44"/>
        </w:rPr>
        <w:t>目 录</w:t>
      </w:r>
    </w:p>
    <w:p>
      <w:pPr>
        <w:spacing w:line="560" w:lineRule="exact"/>
        <w:ind w:firstLine="3080" w:firstLineChars="700"/>
        <w:rPr>
          <w:rFonts w:ascii="仿宋" w:hAnsi="仿宋" w:eastAsia="仿宋"/>
          <w:sz w:val="44"/>
          <w:szCs w:val="44"/>
        </w:rPr>
      </w:pPr>
    </w:p>
    <w:p>
      <w:pPr>
        <w:spacing w:line="560" w:lineRule="exact"/>
        <w:ind w:firstLine="739" w:firstLineChars="231"/>
        <w:rPr>
          <w:rFonts w:ascii="仿宋" w:hAnsi="仿宋" w:eastAsia="仿宋"/>
          <w:sz w:val="32"/>
          <w:szCs w:val="32"/>
        </w:rPr>
      </w:pPr>
      <w:r>
        <w:rPr>
          <w:rFonts w:hint="eastAsia" w:ascii="仿宋" w:hAnsi="仿宋" w:eastAsia="仿宋"/>
          <w:sz w:val="32"/>
          <w:szCs w:val="32"/>
        </w:rPr>
        <w:t>一、基本职能及主要工作</w:t>
      </w:r>
    </w:p>
    <w:p>
      <w:pPr>
        <w:spacing w:line="560" w:lineRule="exact"/>
        <w:ind w:firstLine="480" w:firstLineChars="150"/>
        <w:rPr>
          <w:rFonts w:ascii="仿宋" w:hAnsi="仿宋" w:eastAsia="仿宋"/>
          <w:sz w:val="32"/>
          <w:szCs w:val="32"/>
        </w:rPr>
      </w:pPr>
      <w:r>
        <w:rPr>
          <w:rFonts w:hint="eastAsia" w:ascii="仿宋" w:hAnsi="仿宋" w:eastAsia="仿宋"/>
          <w:sz w:val="32"/>
          <w:szCs w:val="32"/>
        </w:rPr>
        <w:t>（一）部门职能简介</w:t>
      </w:r>
    </w:p>
    <w:p>
      <w:pPr>
        <w:spacing w:line="560" w:lineRule="exact"/>
        <w:ind w:firstLine="480" w:firstLineChars="150"/>
        <w:rPr>
          <w:rFonts w:ascii="仿宋" w:hAnsi="仿宋" w:eastAsia="仿宋"/>
          <w:sz w:val="32"/>
          <w:szCs w:val="32"/>
        </w:rPr>
      </w:pPr>
      <w:r>
        <w:rPr>
          <w:rFonts w:hint="eastAsia" w:ascii="仿宋" w:hAnsi="仿宋" w:eastAsia="仿宋"/>
          <w:sz w:val="32"/>
          <w:szCs w:val="32"/>
        </w:rPr>
        <w:t>（二）202</w:t>
      </w:r>
      <w:r>
        <w:rPr>
          <w:rFonts w:ascii="仿宋" w:hAnsi="仿宋" w:eastAsia="仿宋"/>
          <w:sz w:val="32"/>
          <w:szCs w:val="32"/>
        </w:rPr>
        <w:t>1</w:t>
      </w:r>
      <w:r>
        <w:rPr>
          <w:rFonts w:hint="eastAsia" w:ascii="仿宋" w:hAnsi="仿宋" w:eastAsia="仿宋"/>
          <w:sz w:val="32"/>
          <w:szCs w:val="32"/>
        </w:rPr>
        <w:t>年重点工作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二、部门预算单位构成</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三、收支预算情况说明</w:t>
      </w:r>
    </w:p>
    <w:p>
      <w:pPr>
        <w:spacing w:line="560" w:lineRule="exact"/>
        <w:ind w:firstLine="480" w:firstLineChars="150"/>
        <w:rPr>
          <w:rFonts w:ascii="仿宋" w:hAnsi="仿宋" w:eastAsia="仿宋"/>
          <w:sz w:val="32"/>
          <w:szCs w:val="32"/>
        </w:rPr>
      </w:pPr>
      <w:r>
        <w:rPr>
          <w:rFonts w:hint="eastAsia" w:ascii="仿宋" w:hAnsi="仿宋" w:eastAsia="仿宋"/>
          <w:sz w:val="32"/>
          <w:szCs w:val="32"/>
        </w:rPr>
        <w:t>（一）收入预算情况</w:t>
      </w:r>
    </w:p>
    <w:p>
      <w:pPr>
        <w:spacing w:line="560" w:lineRule="exact"/>
        <w:ind w:firstLine="480" w:firstLineChars="150"/>
        <w:rPr>
          <w:rFonts w:ascii="仿宋" w:hAnsi="仿宋" w:eastAsia="仿宋"/>
          <w:sz w:val="32"/>
          <w:szCs w:val="32"/>
        </w:rPr>
      </w:pPr>
      <w:r>
        <w:rPr>
          <w:rFonts w:hint="eastAsia" w:ascii="仿宋" w:hAnsi="仿宋" w:eastAsia="仿宋"/>
          <w:sz w:val="32"/>
          <w:szCs w:val="32"/>
        </w:rPr>
        <w:t>（二）支出预算情况</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四、财政拨款收支预算情况说明</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五、一般公共预算当年拨款情况说明</w:t>
      </w:r>
    </w:p>
    <w:p>
      <w:pPr>
        <w:spacing w:line="560" w:lineRule="exact"/>
        <w:ind w:left="420" w:leftChars="200"/>
        <w:rPr>
          <w:rFonts w:ascii="仿宋" w:hAnsi="仿宋" w:eastAsia="仿宋"/>
          <w:sz w:val="32"/>
          <w:szCs w:val="32"/>
        </w:rPr>
      </w:pPr>
      <w:r>
        <w:rPr>
          <w:rFonts w:hint="eastAsia" w:ascii="仿宋" w:hAnsi="仿宋" w:eastAsia="仿宋"/>
          <w:sz w:val="32"/>
          <w:szCs w:val="32"/>
        </w:rPr>
        <w:t>（一）一般公共预算当年拨款规模变化情况</w:t>
      </w:r>
      <w:r>
        <w:rPr>
          <w:rFonts w:hint="eastAsia" w:ascii="仿宋" w:hAnsi="仿宋" w:eastAsia="仿宋"/>
          <w:sz w:val="32"/>
          <w:szCs w:val="32"/>
        </w:rPr>
        <w:br w:type="textWrapping"/>
      </w:r>
      <w:r>
        <w:rPr>
          <w:rFonts w:hint="eastAsia" w:ascii="仿宋" w:hAnsi="仿宋" w:eastAsia="仿宋"/>
          <w:sz w:val="32"/>
          <w:szCs w:val="32"/>
        </w:rPr>
        <w:t>（二）一般公共预算当年拨款结构情况</w:t>
      </w:r>
      <w:r>
        <w:rPr>
          <w:rFonts w:hint="eastAsia" w:ascii="仿宋" w:hAnsi="仿宋" w:eastAsia="仿宋"/>
          <w:sz w:val="32"/>
          <w:szCs w:val="32"/>
        </w:rPr>
        <w:br w:type="textWrapping"/>
      </w:r>
      <w:r>
        <w:rPr>
          <w:rFonts w:hint="eastAsia" w:ascii="仿宋" w:hAnsi="仿宋" w:eastAsia="仿宋"/>
          <w:sz w:val="32"/>
          <w:szCs w:val="32"/>
        </w:rPr>
        <w:t>（三）一般公共预算当年拨款具体使用情况</w:t>
      </w:r>
      <w:r>
        <w:rPr>
          <w:rFonts w:hint="eastAsia" w:ascii="仿宋" w:hAnsi="仿宋" w:eastAsia="仿宋" w:cs="宋体"/>
          <w:kern w:val="0"/>
          <w:sz w:val="32"/>
          <w:szCs w:val="32"/>
        </w:rPr>
        <w:br w:type="textWrapping"/>
      </w:r>
      <w:r>
        <w:rPr>
          <w:rFonts w:hint="eastAsia" w:ascii="仿宋" w:hAnsi="仿宋" w:eastAsia="仿宋"/>
          <w:sz w:val="32"/>
          <w:szCs w:val="32"/>
        </w:rPr>
        <w:t>六、一般公共预算基本支出情况说明</w:t>
      </w:r>
      <w:r>
        <w:rPr>
          <w:rFonts w:hint="eastAsia" w:ascii="仿宋" w:hAnsi="仿宋" w:eastAsia="仿宋"/>
          <w:sz w:val="32"/>
          <w:szCs w:val="32"/>
        </w:rPr>
        <w:br w:type="textWrapping"/>
      </w:r>
      <w:r>
        <w:rPr>
          <w:rFonts w:hint="eastAsia" w:ascii="仿宋" w:hAnsi="仿宋" w:eastAsia="仿宋"/>
          <w:sz w:val="32"/>
          <w:szCs w:val="32"/>
        </w:rPr>
        <w:t>七、“三公”经费财政拨款预算安排情况说明</w:t>
      </w:r>
      <w:r>
        <w:rPr>
          <w:rFonts w:hint="eastAsia" w:ascii="仿宋" w:hAnsi="仿宋" w:eastAsia="仿宋"/>
          <w:sz w:val="32"/>
          <w:szCs w:val="32"/>
        </w:rPr>
        <w:br w:type="textWrapping"/>
      </w:r>
      <w:r>
        <w:rPr>
          <w:rFonts w:hint="eastAsia" w:ascii="仿宋" w:hAnsi="仿宋" w:eastAsia="仿宋"/>
          <w:sz w:val="32"/>
          <w:szCs w:val="32"/>
        </w:rPr>
        <w:t>八、政府性基金预算支出情况说明</w:t>
      </w:r>
      <w:r>
        <w:rPr>
          <w:rFonts w:hint="eastAsia" w:ascii="仿宋" w:hAnsi="仿宋" w:eastAsia="仿宋"/>
          <w:sz w:val="32"/>
          <w:szCs w:val="32"/>
        </w:rPr>
        <w:br w:type="textWrapping"/>
      </w:r>
      <w:r>
        <w:rPr>
          <w:rFonts w:hint="eastAsia" w:ascii="仿宋" w:hAnsi="仿宋" w:eastAsia="仿宋"/>
          <w:sz w:val="32"/>
          <w:szCs w:val="32"/>
        </w:rPr>
        <w:t>九、其他重要事项的情况说明</w:t>
      </w:r>
      <w:r>
        <w:rPr>
          <w:rFonts w:hint="eastAsia" w:ascii="仿宋" w:hAnsi="仿宋" w:eastAsia="仿宋"/>
          <w:sz w:val="32"/>
          <w:szCs w:val="32"/>
        </w:rPr>
        <w:br w:type="textWrapping"/>
      </w:r>
      <w:r>
        <w:rPr>
          <w:rFonts w:hint="eastAsia" w:ascii="仿宋" w:hAnsi="仿宋" w:eastAsia="仿宋"/>
          <w:sz w:val="32"/>
          <w:szCs w:val="32"/>
        </w:rPr>
        <w:t>十、名称解释</w:t>
      </w:r>
    </w:p>
    <w:p>
      <w:pPr>
        <w:spacing w:line="560" w:lineRule="exact"/>
        <w:rPr>
          <w:rFonts w:ascii="仿宋" w:hAnsi="仿宋" w:eastAsia="仿宋"/>
          <w:sz w:val="32"/>
          <w:szCs w:val="32"/>
        </w:rPr>
      </w:pPr>
    </w:p>
    <w:p>
      <w:pPr>
        <w:spacing w:line="560" w:lineRule="exact"/>
        <w:rPr>
          <w:rFonts w:ascii="仿宋" w:hAnsi="仿宋" w:eastAsia="仿宋"/>
          <w:sz w:val="32"/>
          <w:szCs w:val="32"/>
        </w:rPr>
      </w:pPr>
    </w:p>
    <w:tbl>
      <w:tblPr>
        <w:tblStyle w:val="4"/>
        <w:tblpPr w:leftFromText="30" w:rightFromText="230" w:vertAnchor="text" w:tblpXSpec="right" w:tblpYSpec="center"/>
        <w:tblW w:w="0" w:type="auto"/>
        <w:tblCellSpacing w:w="15" w:type="dxa"/>
        <w:tblInd w:w="0" w:type="dxa"/>
        <w:tblLayout w:type="autofit"/>
        <w:tblCellMar>
          <w:top w:w="15" w:type="dxa"/>
          <w:left w:w="15" w:type="dxa"/>
          <w:bottom w:w="15" w:type="dxa"/>
          <w:right w:w="15" w:type="dxa"/>
        </w:tblCellMar>
      </w:tblPr>
      <w:tblGrid>
        <w:gridCol w:w="81"/>
        <w:gridCol w:w="81"/>
      </w:tblGrid>
      <w:tr>
        <w:tblPrEx>
          <w:tblCellMar>
            <w:top w:w="15" w:type="dxa"/>
            <w:left w:w="15" w:type="dxa"/>
            <w:bottom w:w="15" w:type="dxa"/>
            <w:right w:w="15" w:type="dxa"/>
          </w:tblCellMar>
        </w:tblPrEx>
        <w:trPr>
          <w:tblCellSpacing w:w="15" w:type="dxa"/>
        </w:trPr>
        <w:tc>
          <w:tcPr>
            <w:tcW w:w="0" w:type="auto"/>
            <w:vAlign w:val="center"/>
          </w:tcPr>
          <w:p>
            <w:pPr>
              <w:widowControl/>
              <w:spacing w:line="560" w:lineRule="exact"/>
              <w:jc w:val="center"/>
              <w:rPr>
                <w:rFonts w:hint="eastAsia" w:ascii="仿宋" w:hAnsi="仿宋" w:eastAsia="仿宋" w:cs="宋体"/>
                <w:kern w:val="0"/>
                <w:sz w:val="32"/>
                <w:szCs w:val="32"/>
              </w:rPr>
            </w:pPr>
          </w:p>
        </w:tc>
        <w:tc>
          <w:tcPr>
            <w:tcW w:w="0" w:type="auto"/>
            <w:vAlign w:val="center"/>
          </w:tcPr>
          <w:p>
            <w:pPr>
              <w:widowControl/>
              <w:spacing w:line="560" w:lineRule="exact"/>
              <w:jc w:val="center"/>
              <w:rPr>
                <w:rFonts w:hint="eastAsia" w:ascii="仿宋" w:hAnsi="仿宋" w:eastAsia="仿宋" w:cs="宋体"/>
                <w:kern w:val="0"/>
                <w:sz w:val="32"/>
                <w:szCs w:val="32"/>
              </w:rPr>
            </w:pPr>
          </w:p>
        </w:tc>
      </w:tr>
    </w:tbl>
    <w:p>
      <w:pPr>
        <w:pStyle w:val="9"/>
        <w:spacing w:before="0" w:line="560" w:lineRule="exact"/>
        <w:ind w:firstLine="645"/>
        <w:rPr>
          <w:rFonts w:hint="eastAsia" w:ascii="仿宋" w:hAnsi="仿宋" w:eastAsia="仿宋" w:cs="宋体"/>
          <w:sz w:val="32"/>
          <w:szCs w:val="32"/>
        </w:rPr>
      </w:pPr>
      <w:r>
        <w:rPr>
          <w:rFonts w:hint="eastAsia" w:ascii="仿宋" w:hAnsi="仿宋" w:eastAsia="仿宋" w:cs="宋体"/>
          <w:bCs/>
          <w:sz w:val="32"/>
          <w:szCs w:val="32"/>
        </w:rPr>
        <w:t>一、基本职能及主要工作</w:t>
      </w:r>
    </w:p>
    <w:p>
      <w:pPr>
        <w:spacing w:line="560" w:lineRule="exact"/>
        <w:ind w:firstLine="645"/>
        <w:rPr>
          <w:rFonts w:hint="eastAsia" w:ascii="仿宋" w:hAnsi="仿宋" w:eastAsia="仿宋" w:cs="宋体"/>
          <w:b/>
          <w:sz w:val="32"/>
          <w:szCs w:val="32"/>
        </w:rPr>
      </w:pPr>
      <w:r>
        <w:rPr>
          <w:rFonts w:hint="eastAsia" w:ascii="仿宋" w:hAnsi="仿宋" w:eastAsia="仿宋" w:cs="宋体"/>
          <w:b/>
          <w:sz w:val="32"/>
          <w:szCs w:val="32"/>
        </w:rPr>
        <w:t>（一）州交警支队职能简介</w:t>
      </w:r>
    </w:p>
    <w:p>
      <w:pPr>
        <w:spacing w:line="560" w:lineRule="exact"/>
        <w:ind w:firstLine="645"/>
        <w:rPr>
          <w:rFonts w:ascii="仿宋" w:hAnsi="仿宋" w:eastAsia="仿宋" w:cs="仿宋"/>
          <w:sz w:val="32"/>
          <w:szCs w:val="32"/>
        </w:rPr>
      </w:pPr>
      <w:r>
        <w:rPr>
          <w:rFonts w:hint="eastAsia" w:ascii="仿宋" w:hAnsi="仿宋" w:eastAsia="仿宋" w:cs="Times New Roman"/>
          <w:color w:val="333333"/>
          <w:sz w:val="32"/>
          <w:szCs w:val="32"/>
        </w:rPr>
        <w:t>阿坝州公安局交警支队</w:t>
      </w:r>
      <w:r>
        <w:rPr>
          <w:rFonts w:hint="eastAsia" w:ascii="仿宋" w:hAnsi="仿宋" w:eastAsia="仿宋" w:cs="仿宋"/>
          <w:sz w:val="32"/>
          <w:szCs w:val="32"/>
        </w:rPr>
        <w:t>负责全州国、省、县、乡道路交通安全，负责车辆入户及驾驶人考核，组织全州公安交通管理部门开展交通安全宣传教育、维护交通秩序、处理交通事故、打击涉路违法犯罪及协商相关职能部门开展道路交通安全隐患排查、治理工作；</w:t>
      </w:r>
      <w:r>
        <w:rPr>
          <w:rFonts w:hint="eastAsia" w:ascii="仿宋" w:hAnsi="仿宋" w:eastAsia="仿宋" w:cs="宋体"/>
          <w:color w:val="000000"/>
          <w:sz w:val="32"/>
          <w:szCs w:val="32"/>
        </w:rPr>
        <w:t>紧紧围绕贯彻全国公安交通管理工作会议精神，</w:t>
      </w:r>
      <w:r>
        <w:rPr>
          <w:rFonts w:hint="eastAsia" w:ascii="仿宋" w:hAnsi="仿宋" w:eastAsia="仿宋" w:cs="宋体"/>
          <w:sz w:val="32"/>
          <w:szCs w:val="32"/>
        </w:rPr>
        <w:t>以预防重特大道路交通事故为核心，以科技信息化建设为突破口，全力推进各项交通管理工作，全力提升依法管理和服务群众能力水平。</w:t>
      </w:r>
    </w:p>
    <w:p>
      <w:pPr>
        <w:pStyle w:val="9"/>
        <w:spacing w:before="0" w:line="560" w:lineRule="exact"/>
        <w:ind w:firstLine="643" w:firstLineChars="200"/>
        <w:rPr>
          <w:rFonts w:hint="eastAsia" w:ascii="仿宋" w:hAnsi="仿宋" w:eastAsia="仿宋" w:cs="宋体"/>
          <w:b/>
          <w:sz w:val="32"/>
          <w:szCs w:val="32"/>
        </w:rPr>
      </w:pPr>
      <w:r>
        <w:rPr>
          <w:rFonts w:hint="eastAsia" w:ascii="仿宋" w:hAnsi="仿宋" w:eastAsia="仿宋" w:cs="宋体"/>
          <w:b/>
          <w:sz w:val="32"/>
          <w:szCs w:val="32"/>
        </w:rPr>
        <w:t>（二）州交警支队202</w:t>
      </w:r>
      <w:r>
        <w:rPr>
          <w:rFonts w:ascii="仿宋" w:hAnsi="仿宋" w:eastAsia="仿宋" w:cs="宋体"/>
          <w:b/>
          <w:sz w:val="32"/>
          <w:szCs w:val="32"/>
        </w:rPr>
        <w:t>1</w:t>
      </w:r>
      <w:r>
        <w:rPr>
          <w:rFonts w:hint="eastAsia" w:ascii="仿宋" w:hAnsi="仿宋" w:eastAsia="仿宋" w:cs="宋体"/>
          <w:b/>
          <w:sz w:val="32"/>
          <w:szCs w:val="32"/>
        </w:rPr>
        <w:t>年重点工作</w:t>
      </w:r>
    </w:p>
    <w:p>
      <w:pPr>
        <w:spacing w:line="560" w:lineRule="exact"/>
        <w:ind w:firstLine="765"/>
        <w:rPr>
          <w:rFonts w:hint="eastAsia" w:ascii="仿宋" w:hAnsi="仿宋" w:eastAsia="仿宋" w:cs="宋体"/>
          <w:color w:val="000000"/>
          <w:kern w:val="0"/>
          <w:sz w:val="32"/>
          <w:szCs w:val="32"/>
        </w:rPr>
      </w:pPr>
      <w:r>
        <w:rPr>
          <w:rFonts w:hint="eastAsia" w:ascii="仿宋" w:hAnsi="仿宋" w:eastAsia="仿宋" w:cs="宋体"/>
          <w:bCs/>
          <w:color w:val="000000"/>
          <w:sz w:val="32"/>
          <w:szCs w:val="32"/>
        </w:rPr>
        <w:t>2021年，交警支队将</w:t>
      </w:r>
      <w:r>
        <w:rPr>
          <w:rFonts w:hint="eastAsia" w:ascii="仿宋" w:hAnsi="仿宋" w:eastAsia="仿宋"/>
          <w:color w:val="000000"/>
          <w:sz w:val="32"/>
          <w:szCs w:val="32"/>
        </w:rPr>
        <w:t>认真按照局党委和厅交管局的统一部署，紧扣“把方向、防风险、保平安、护发展、强根本”总要求，积极围绕为我州经济发展、社会稳定营造安全畅通道路交通环境这一奋斗目标，全力以赴、务实奋进，严要求、高标准推动各项工作深入开展。</w:t>
      </w:r>
      <w:r>
        <w:rPr>
          <w:rFonts w:hint="eastAsia" w:ascii="仿宋" w:hAnsi="仿宋" w:eastAsia="仿宋"/>
          <w:b/>
          <w:bCs/>
          <w:color w:val="000000"/>
          <w:sz w:val="32"/>
          <w:szCs w:val="32"/>
        </w:rPr>
        <w:t>一是持续深入开展</w:t>
      </w:r>
      <w:r>
        <w:rPr>
          <w:rFonts w:hint="eastAsia" w:ascii="仿宋" w:hAnsi="仿宋" w:eastAsia="仿宋" w:cs="Arial"/>
          <w:b/>
          <w:color w:val="000000"/>
          <w:sz w:val="32"/>
          <w:szCs w:val="32"/>
        </w:rPr>
        <w:t>“</w:t>
      </w:r>
      <w:r>
        <w:rPr>
          <w:rFonts w:hint="eastAsia" w:ascii="仿宋" w:hAnsi="仿宋" w:eastAsia="仿宋" w:cs="Arial"/>
          <w:b/>
          <w:bCs/>
          <w:color w:val="333333"/>
          <w:sz w:val="32"/>
          <w:szCs w:val="32"/>
        </w:rPr>
        <w:t>坚持政治建警全面从严治警</w:t>
      </w:r>
      <w:r>
        <w:rPr>
          <w:rFonts w:hint="eastAsia" w:ascii="仿宋" w:hAnsi="仿宋" w:eastAsia="仿宋" w:cs="Arial"/>
          <w:b/>
          <w:color w:val="000000"/>
          <w:sz w:val="32"/>
          <w:szCs w:val="32"/>
        </w:rPr>
        <w:t>”</w:t>
      </w:r>
      <w:r>
        <w:rPr>
          <w:rFonts w:hint="eastAsia" w:ascii="仿宋" w:hAnsi="仿宋" w:eastAsia="仿宋" w:cs="Arial"/>
          <w:b/>
          <w:bCs/>
          <w:color w:val="333333"/>
          <w:sz w:val="32"/>
          <w:szCs w:val="32"/>
        </w:rPr>
        <w:t>”教育整顿活动。</w:t>
      </w:r>
      <w:r>
        <w:rPr>
          <w:rFonts w:hint="eastAsia" w:ascii="仿宋" w:hAnsi="仿宋" w:eastAsia="仿宋" w:cs="宋体"/>
          <w:color w:val="000000"/>
          <w:spacing w:val="30"/>
          <w:kern w:val="0"/>
          <w:sz w:val="32"/>
          <w:szCs w:val="32"/>
        </w:rPr>
        <w:t>要深入学习贯彻习近平总书记重要训词精神，充分认识此次教育整顿的重要意义，聚焦公安部“四个进一步”目标，紧扣省厅“五自三为三步”总体思路，按照市局党委部署要求，坚持把教育整顿作为一次提升素质能力、转变工作作风、密切联系群众的有利契机，以高度的政治自觉、思想自觉和行动自觉，履行好党委主体责任和班子成员“一岗双责”，层层压紧压实队伍精细化监督管理责任，履行好新时代使命任务，切实把教育整顿抓深抓实抓细，推动公安工作和队伍建设全面健康发展。</w:t>
      </w:r>
      <w:r>
        <w:rPr>
          <w:rFonts w:hint="eastAsia" w:ascii="仿宋" w:hAnsi="仿宋" w:eastAsia="仿宋"/>
          <w:b/>
          <w:bCs/>
          <w:color w:val="000000"/>
          <w:sz w:val="32"/>
          <w:szCs w:val="32"/>
        </w:rPr>
        <w:t>二是持续巩固道路交通综合治理成效。</w:t>
      </w:r>
      <w:r>
        <w:rPr>
          <w:rFonts w:hint="eastAsia" w:ascii="仿宋" w:hAnsi="仿宋" w:eastAsia="仿宋"/>
          <w:bCs/>
          <w:color w:val="000000"/>
          <w:sz w:val="32"/>
          <w:szCs w:val="32"/>
        </w:rPr>
        <w:t>加强农村道路交通管理，推动落实州政府相关工作意见，重点按照“长”和“专”要求，全面深化农村道路交通安全管理机制，推动各级政府建立责任清单、责任“三包”等工作制度，落实隐患排查治理、安保工程建设等职责任务。加强货车双超治理，统一高地治超标准，严格入州货车管控，继续用好州政府绩效考核手段等刚性制度，确保取得实效。</w:t>
      </w:r>
      <w:r>
        <w:rPr>
          <w:rFonts w:hint="eastAsia" w:ascii="仿宋" w:hAnsi="仿宋" w:eastAsia="仿宋"/>
          <w:b/>
          <w:color w:val="000000"/>
          <w:sz w:val="32"/>
          <w:szCs w:val="32"/>
        </w:rPr>
        <w:t>三是</w:t>
      </w:r>
      <w:r>
        <w:rPr>
          <w:rFonts w:hint="eastAsia" w:ascii="仿宋" w:hAnsi="仿宋" w:eastAsia="仿宋"/>
          <w:b/>
          <w:bCs/>
          <w:color w:val="000000"/>
          <w:sz w:val="32"/>
          <w:szCs w:val="32"/>
        </w:rPr>
        <w:t>全力抓好事故防控。</w:t>
      </w:r>
      <w:r>
        <w:rPr>
          <w:rFonts w:hint="eastAsia" w:ascii="仿宋" w:hAnsi="仿宋" w:eastAsia="仿宋"/>
          <w:color w:val="000000"/>
          <w:sz w:val="32"/>
          <w:szCs w:val="32"/>
        </w:rPr>
        <w:t>继续深入开展以秩序管控、源头安全隐患排查治理、事故深度调查为支撑的事故预防工作，加强货车超限超载治理，做深做细重点对象、重点部位和恶劣天气环境风险研判机制，全力压降事故起数和死亡人数。</w:t>
      </w:r>
      <w:r>
        <w:rPr>
          <w:rFonts w:hint="eastAsia" w:ascii="仿宋" w:hAnsi="仿宋" w:eastAsia="仿宋"/>
          <w:b/>
          <w:color w:val="000000"/>
          <w:sz w:val="32"/>
          <w:szCs w:val="32"/>
        </w:rPr>
        <w:t>四是</w:t>
      </w:r>
      <w:r>
        <w:rPr>
          <w:rFonts w:hint="eastAsia" w:ascii="仿宋" w:hAnsi="仿宋" w:eastAsia="仿宋"/>
          <w:b/>
          <w:bCs/>
          <w:color w:val="000000"/>
          <w:sz w:val="32"/>
          <w:szCs w:val="32"/>
        </w:rPr>
        <w:t>着力做实交通秩序整治。</w:t>
      </w:r>
      <w:r>
        <w:rPr>
          <w:rFonts w:hint="eastAsia" w:ascii="仿宋" w:hAnsi="仿宋" w:eastAsia="仿宋"/>
          <w:bCs/>
          <w:color w:val="000000"/>
          <w:sz w:val="32"/>
          <w:szCs w:val="32"/>
        </w:rPr>
        <w:t>深入推进公路防控体系建设应用，深化勤务机制改革和信息化应用，持续提升“见警率”“管事率”，以易肇事肇祸违法行为为重点深入开展专项整治。</w:t>
      </w:r>
      <w:r>
        <w:rPr>
          <w:rFonts w:hint="eastAsia" w:ascii="仿宋" w:hAnsi="仿宋" w:eastAsia="仿宋"/>
          <w:b/>
          <w:color w:val="000000"/>
          <w:sz w:val="32"/>
          <w:szCs w:val="32"/>
        </w:rPr>
        <w:t>五是</w:t>
      </w:r>
      <w:r>
        <w:rPr>
          <w:rFonts w:hint="eastAsia" w:ascii="仿宋" w:hAnsi="仿宋" w:eastAsia="仿宋" w:cs="宋体"/>
          <w:b/>
          <w:color w:val="000000"/>
          <w:sz w:val="32"/>
          <w:szCs w:val="32"/>
        </w:rPr>
        <w:t>强化公安交管“放管服”工作。</w:t>
      </w:r>
      <w:r>
        <w:rPr>
          <w:rFonts w:hint="eastAsia" w:ascii="仿宋" w:hAnsi="仿宋" w:eastAsia="仿宋" w:cs="宋体"/>
          <w:bCs/>
          <w:color w:val="000000"/>
          <w:sz w:val="32"/>
          <w:szCs w:val="32"/>
        </w:rPr>
        <w:t>全面落实</w:t>
      </w:r>
      <w:r>
        <w:rPr>
          <w:rFonts w:hint="eastAsia" w:ascii="仿宋" w:hAnsi="仿宋" w:eastAsia="仿宋"/>
          <w:color w:val="000000"/>
          <w:sz w:val="32"/>
          <w:szCs w:val="32"/>
          <w:shd w:val="clear" w:color="auto" w:fill="FFFFFF"/>
        </w:rPr>
        <w:t>公安交管“放管服”改革优化营商环境12项措施</w:t>
      </w:r>
      <w:r>
        <w:rPr>
          <w:rFonts w:hint="eastAsia" w:ascii="仿宋" w:hAnsi="仿宋" w:eastAsia="仿宋" w:cs="宋体"/>
          <w:bCs/>
          <w:color w:val="000000"/>
          <w:sz w:val="32"/>
          <w:szCs w:val="32"/>
        </w:rPr>
        <w:t>，加快推动“警保联动”工作，进一步规范警用车辆业务管理，实现简政放权向更高层次水平迈进。</w:t>
      </w:r>
      <w:r>
        <w:rPr>
          <w:rFonts w:hint="eastAsia" w:ascii="仿宋" w:hAnsi="仿宋" w:eastAsia="仿宋" w:cs="宋体"/>
          <w:b/>
          <w:color w:val="000000"/>
          <w:sz w:val="32"/>
          <w:szCs w:val="32"/>
        </w:rPr>
        <w:t>六是</w:t>
      </w:r>
      <w:r>
        <w:rPr>
          <w:rFonts w:hint="eastAsia" w:ascii="仿宋" w:hAnsi="仿宋" w:eastAsia="仿宋"/>
          <w:b/>
          <w:color w:val="333333"/>
          <w:sz w:val="32"/>
          <w:szCs w:val="32"/>
        </w:rPr>
        <w:t>强化信息化建设应用。</w:t>
      </w:r>
      <w:r>
        <w:rPr>
          <w:rFonts w:hint="eastAsia" w:ascii="仿宋" w:hAnsi="仿宋" w:eastAsia="仿宋"/>
          <w:color w:val="333333"/>
          <w:sz w:val="32"/>
          <w:szCs w:val="32"/>
        </w:rPr>
        <w:t>要将全州道路交通综合智能系统应用作为破解难题、提升工作的重要支撑，在推进智能化、信息化上下功夫，加快提升现代信息技术与农村道路安全工作的融合度，深化</w:t>
      </w:r>
      <w:r>
        <w:rPr>
          <w:rFonts w:ascii="仿宋" w:hAnsi="仿宋" w:eastAsia="仿宋"/>
          <w:color w:val="333333"/>
          <w:sz w:val="32"/>
          <w:szCs w:val="32"/>
        </w:rPr>
        <w:t>“</w:t>
      </w:r>
      <w:r>
        <w:rPr>
          <w:rFonts w:hint="eastAsia" w:ascii="仿宋" w:hAnsi="仿宋" w:eastAsia="仿宋"/>
          <w:color w:val="333333"/>
          <w:sz w:val="32"/>
          <w:szCs w:val="32"/>
        </w:rPr>
        <w:t>互联网</w:t>
      </w:r>
      <w:r>
        <w:rPr>
          <w:rFonts w:ascii="仿宋" w:hAnsi="仿宋" w:eastAsia="仿宋"/>
          <w:color w:val="333333"/>
          <w:sz w:val="32"/>
          <w:szCs w:val="32"/>
        </w:rPr>
        <w:t>+</w:t>
      </w:r>
      <w:r>
        <w:rPr>
          <w:rFonts w:hint="eastAsia" w:ascii="仿宋" w:hAnsi="仿宋" w:eastAsia="仿宋"/>
          <w:color w:val="333333"/>
          <w:sz w:val="32"/>
          <w:szCs w:val="32"/>
        </w:rPr>
        <w:t>安全</w:t>
      </w:r>
      <w:r>
        <w:rPr>
          <w:rFonts w:ascii="仿宋" w:hAnsi="仿宋" w:eastAsia="仿宋"/>
          <w:color w:val="333333"/>
          <w:sz w:val="32"/>
          <w:szCs w:val="32"/>
        </w:rPr>
        <w:t>”</w:t>
      </w:r>
      <w:r>
        <w:rPr>
          <w:rFonts w:hint="eastAsia" w:ascii="仿宋" w:hAnsi="仿宋" w:eastAsia="仿宋"/>
          <w:color w:val="333333"/>
          <w:sz w:val="32"/>
          <w:szCs w:val="32"/>
        </w:rPr>
        <w:t>新模式的运用，加快实施道路安全生命防护工程建设，强化部门之间各类监管平台数据的共享与联通，真正依靠科技力量实现差异化、精细化监管，夯实平安阿坝建设</w:t>
      </w:r>
      <w:r>
        <w:rPr>
          <w:rFonts w:ascii="仿宋" w:hAnsi="仿宋" w:eastAsia="仿宋"/>
          <w:color w:val="333333"/>
          <w:sz w:val="32"/>
          <w:szCs w:val="32"/>
        </w:rPr>
        <w:t>“</w:t>
      </w:r>
      <w:r>
        <w:rPr>
          <w:rFonts w:hint="eastAsia" w:ascii="仿宋" w:hAnsi="仿宋" w:eastAsia="仿宋"/>
          <w:color w:val="333333"/>
          <w:sz w:val="32"/>
          <w:szCs w:val="32"/>
        </w:rPr>
        <w:t>基点</w:t>
      </w:r>
      <w:r>
        <w:rPr>
          <w:rFonts w:ascii="仿宋" w:hAnsi="仿宋" w:eastAsia="仿宋"/>
          <w:color w:val="333333"/>
          <w:sz w:val="32"/>
          <w:szCs w:val="32"/>
        </w:rPr>
        <w:t>”</w:t>
      </w:r>
      <w:r>
        <w:rPr>
          <w:rFonts w:hint="eastAsia" w:ascii="仿宋" w:hAnsi="仿宋" w:eastAsia="仿宋"/>
          <w:color w:val="333333"/>
          <w:sz w:val="32"/>
          <w:szCs w:val="32"/>
        </w:rPr>
        <w:t>。</w:t>
      </w:r>
    </w:p>
    <w:p>
      <w:pPr>
        <w:pStyle w:val="9"/>
        <w:spacing w:before="0" w:line="560" w:lineRule="exact"/>
        <w:ind w:firstLine="630"/>
        <w:rPr>
          <w:rFonts w:hint="eastAsia" w:ascii="仿宋" w:hAnsi="仿宋" w:eastAsia="仿宋" w:cs="宋体"/>
          <w:bCs/>
          <w:sz w:val="32"/>
          <w:szCs w:val="32"/>
        </w:rPr>
      </w:pPr>
      <w:r>
        <w:rPr>
          <w:rFonts w:hint="eastAsia" w:ascii="仿宋" w:hAnsi="仿宋" w:eastAsia="仿宋" w:cs="宋体"/>
          <w:bCs/>
          <w:sz w:val="32"/>
          <w:szCs w:val="32"/>
        </w:rPr>
        <w:t>二、部门预算单位构成</w:t>
      </w:r>
    </w:p>
    <w:p>
      <w:pPr>
        <w:pStyle w:val="9"/>
        <w:spacing w:before="0" w:line="560" w:lineRule="exact"/>
        <w:ind w:firstLine="630"/>
        <w:rPr>
          <w:rFonts w:hint="eastAsia" w:ascii="仿宋" w:hAnsi="仿宋" w:eastAsia="仿宋" w:cs="宋体"/>
          <w:sz w:val="32"/>
          <w:szCs w:val="32"/>
        </w:rPr>
      </w:pPr>
      <w:r>
        <w:rPr>
          <w:rFonts w:hint="eastAsia" w:ascii="仿宋" w:hAnsi="仿宋" w:eastAsia="仿宋" w:cs="宋体"/>
          <w:sz w:val="32"/>
          <w:szCs w:val="32"/>
        </w:rPr>
        <w:t>州交警支队属一级预算单位，其中：行政单位1个。</w:t>
      </w:r>
    </w:p>
    <w:p>
      <w:pPr>
        <w:pStyle w:val="9"/>
        <w:spacing w:before="0" w:line="560" w:lineRule="exact"/>
        <w:ind w:firstLine="645"/>
        <w:rPr>
          <w:rFonts w:hint="eastAsia" w:ascii="仿宋" w:hAnsi="仿宋" w:eastAsia="仿宋" w:cs="宋体"/>
          <w:bCs/>
          <w:sz w:val="32"/>
          <w:szCs w:val="32"/>
        </w:rPr>
      </w:pPr>
      <w:r>
        <w:rPr>
          <w:rFonts w:hint="eastAsia" w:ascii="仿宋" w:hAnsi="仿宋" w:eastAsia="仿宋" w:cs="宋体"/>
          <w:bCs/>
          <w:sz w:val="32"/>
          <w:szCs w:val="32"/>
        </w:rPr>
        <w:t>三、收支预算情况说明</w:t>
      </w:r>
    </w:p>
    <w:p>
      <w:pPr>
        <w:pStyle w:val="9"/>
        <w:spacing w:before="0" w:line="560" w:lineRule="exact"/>
        <w:ind w:firstLine="800" w:firstLineChars="250"/>
        <w:rPr>
          <w:rFonts w:ascii="仿宋" w:hAnsi="仿宋" w:eastAsia="仿宋" w:cs="宋体"/>
          <w:sz w:val="32"/>
          <w:szCs w:val="32"/>
        </w:rPr>
      </w:pPr>
      <w:r>
        <w:rPr>
          <w:rFonts w:hint="eastAsia" w:ascii="仿宋" w:hAnsi="仿宋" w:eastAsia="仿宋" w:cs="宋体"/>
          <w:sz w:val="32"/>
          <w:szCs w:val="32"/>
        </w:rPr>
        <w:t>按照综合预算的原则，州交警支队所有收入和支出均纳入部门预算管理。收入包括：一般公共预算拨款收入4170.82万元，上年结转968.2万元；支出包括：公共安全4981.79万元，社会保障和就业支出92.3万元，卫生健康支出22.26万元，住房保障支出42.66万元。州交警支队2021年收支总预算5139.02万元，比2020年收支预算总数增加853.35万元。主要原因:</w:t>
      </w:r>
      <w:r>
        <w:rPr>
          <w:rFonts w:hint="eastAsia" w:ascii="仿宋" w:hAnsi="仿宋" w:eastAsia="仿宋"/>
          <w:sz w:val="32"/>
          <w:szCs w:val="32"/>
        </w:rPr>
        <w:t>2021年安排公安交管大数据指挥中心业务技术用房建设项目资金1000万元和</w:t>
      </w:r>
      <w:r>
        <w:rPr>
          <w:rFonts w:hint="eastAsia" w:ascii="仿宋" w:hAnsi="仿宋" w:eastAsia="仿宋" w:cs="宋体"/>
          <w:sz w:val="32"/>
          <w:szCs w:val="32"/>
        </w:rPr>
        <w:t>车管业务综合监管系统建设256.49万元</w:t>
      </w:r>
      <w:r>
        <w:rPr>
          <w:rFonts w:hint="eastAsia" w:ascii="仿宋" w:hAnsi="仿宋" w:eastAsia="仿宋"/>
          <w:sz w:val="32"/>
          <w:szCs w:val="32"/>
        </w:rPr>
        <w:t>，同时上年结转项目资金减少968.2万元，预算总收支增加853.35万元。</w:t>
      </w:r>
    </w:p>
    <w:p>
      <w:pPr>
        <w:pStyle w:val="9"/>
        <w:spacing w:before="0" w:line="560" w:lineRule="exact"/>
        <w:ind w:firstLine="482" w:firstLineChars="150"/>
        <w:rPr>
          <w:rFonts w:hint="eastAsia" w:ascii="仿宋" w:hAnsi="仿宋" w:eastAsia="仿宋" w:cs="宋体"/>
          <w:b/>
          <w:sz w:val="32"/>
          <w:szCs w:val="32"/>
        </w:rPr>
      </w:pPr>
      <w:r>
        <w:rPr>
          <w:rFonts w:hint="eastAsia" w:ascii="仿宋" w:hAnsi="仿宋" w:eastAsia="仿宋" w:cs="宋体"/>
          <w:b/>
          <w:sz w:val="32"/>
          <w:szCs w:val="32"/>
        </w:rPr>
        <w:t>（一）收入预算情况</w:t>
      </w:r>
    </w:p>
    <w:p>
      <w:pPr>
        <w:pStyle w:val="9"/>
        <w:spacing w:before="0" w:line="560" w:lineRule="exact"/>
        <w:ind w:firstLine="645"/>
        <w:rPr>
          <w:rFonts w:hint="eastAsia" w:ascii="仿宋" w:hAnsi="仿宋" w:eastAsia="仿宋" w:cs="宋体"/>
          <w:sz w:val="32"/>
          <w:szCs w:val="32"/>
        </w:rPr>
      </w:pPr>
      <w:r>
        <w:rPr>
          <w:rFonts w:hint="eastAsia" w:ascii="仿宋" w:hAnsi="仿宋" w:eastAsia="仿宋" w:cs="宋体"/>
          <w:sz w:val="32"/>
          <w:szCs w:val="32"/>
        </w:rPr>
        <w:t>州交警支队2021年收入预算5139.02万元，其中：上年结转968.2万元，占18.84%；一般公共预算拨款收入4170.82万元，占81.16%。</w:t>
      </w:r>
    </w:p>
    <w:p>
      <w:pPr>
        <w:pStyle w:val="9"/>
        <w:spacing w:before="0" w:line="560" w:lineRule="exact"/>
        <w:ind w:firstLine="630"/>
        <w:rPr>
          <w:rFonts w:hint="eastAsia" w:ascii="仿宋" w:hAnsi="仿宋" w:eastAsia="仿宋" w:cs="宋体"/>
          <w:b/>
          <w:sz w:val="32"/>
          <w:szCs w:val="32"/>
        </w:rPr>
      </w:pPr>
      <w:r>
        <w:rPr>
          <w:rFonts w:hint="eastAsia" w:ascii="仿宋" w:hAnsi="仿宋" w:eastAsia="仿宋" w:cs="宋体"/>
          <w:b/>
          <w:sz w:val="32"/>
          <w:szCs w:val="32"/>
        </w:rPr>
        <w:t>（二）支出预算情况</w:t>
      </w:r>
    </w:p>
    <w:p>
      <w:pPr>
        <w:pStyle w:val="9"/>
        <w:spacing w:before="0" w:line="560" w:lineRule="exact"/>
        <w:ind w:firstLine="630"/>
        <w:rPr>
          <w:rFonts w:hint="eastAsia" w:ascii="仿宋" w:hAnsi="仿宋" w:eastAsia="仿宋" w:cs="宋体"/>
          <w:sz w:val="32"/>
          <w:szCs w:val="32"/>
        </w:rPr>
      </w:pPr>
      <w:r>
        <w:rPr>
          <w:rFonts w:hint="eastAsia" w:ascii="仿宋" w:hAnsi="仿宋" w:eastAsia="仿宋" w:cs="宋体"/>
          <w:sz w:val="32"/>
          <w:szCs w:val="32"/>
        </w:rPr>
        <w:t>州交警支队2021年支出预算5139.02万元，其中：基本支出1039.45万元，占20.23%；项目支出4099.57万元，占79.77%。</w:t>
      </w:r>
    </w:p>
    <w:p>
      <w:pPr>
        <w:pStyle w:val="9"/>
        <w:spacing w:before="0" w:line="560" w:lineRule="exact"/>
        <w:ind w:firstLine="630"/>
        <w:rPr>
          <w:rFonts w:hint="eastAsia" w:ascii="仿宋" w:hAnsi="仿宋" w:eastAsia="仿宋" w:cs="宋体"/>
          <w:sz w:val="32"/>
          <w:szCs w:val="32"/>
        </w:rPr>
      </w:pPr>
      <w:r>
        <w:rPr>
          <w:rFonts w:hint="eastAsia" w:ascii="仿宋" w:hAnsi="仿宋" w:eastAsia="仿宋" w:cs="宋体"/>
          <w:bCs/>
          <w:sz w:val="32"/>
          <w:szCs w:val="32"/>
        </w:rPr>
        <w:t>四、财政拨款收支预算情况说明</w:t>
      </w:r>
    </w:p>
    <w:p>
      <w:pPr>
        <w:pStyle w:val="9"/>
        <w:spacing w:before="0" w:line="560" w:lineRule="exact"/>
        <w:ind w:firstLine="800" w:firstLineChars="250"/>
        <w:rPr>
          <w:rFonts w:ascii="仿宋" w:hAnsi="仿宋" w:eastAsia="仿宋" w:cs="宋体"/>
          <w:sz w:val="32"/>
          <w:szCs w:val="32"/>
        </w:rPr>
      </w:pPr>
      <w:r>
        <w:rPr>
          <w:rFonts w:hint="eastAsia" w:ascii="仿宋" w:hAnsi="仿宋" w:eastAsia="仿宋" w:cs="宋体"/>
          <w:sz w:val="32"/>
          <w:szCs w:val="32"/>
        </w:rPr>
        <w:t>州交警支队2021年财政拨款收支总预算5139.02万元,比2020年财政拨款收支总预算增加853.35万元，主要原因: 主要原因:</w:t>
      </w:r>
      <w:r>
        <w:rPr>
          <w:rFonts w:hint="eastAsia" w:ascii="仿宋" w:hAnsi="仿宋" w:eastAsia="仿宋"/>
          <w:sz w:val="32"/>
          <w:szCs w:val="32"/>
        </w:rPr>
        <w:t>2021年安排公安交管大数据指挥中心业务技术用房建设项目资金1000万元和</w:t>
      </w:r>
      <w:r>
        <w:rPr>
          <w:rFonts w:hint="eastAsia" w:ascii="仿宋" w:hAnsi="仿宋" w:eastAsia="仿宋" w:cs="宋体"/>
          <w:sz w:val="32"/>
          <w:szCs w:val="32"/>
        </w:rPr>
        <w:t>车管业务综合监管系统建设256.49万元。</w:t>
      </w:r>
      <w:r>
        <w:rPr>
          <w:rFonts w:hint="eastAsia" w:ascii="仿宋" w:hAnsi="仿宋" w:eastAsia="仿宋"/>
          <w:sz w:val="32"/>
          <w:szCs w:val="32"/>
        </w:rPr>
        <w:t>同时上年结转项目资金减少968.2万元，预算总收支增加853.35万元。</w:t>
      </w:r>
      <w:r>
        <w:rPr>
          <w:rFonts w:hint="eastAsia" w:ascii="仿宋" w:hAnsi="仿宋" w:eastAsia="仿宋" w:cs="宋体"/>
          <w:sz w:val="32"/>
          <w:szCs w:val="32"/>
        </w:rPr>
        <w:t>收入包括：本年一般公共预算拨款收入4170.82万元，同比上年增长246.95万元，主要增长原因为项目资金增加，当年新增项目-</w:t>
      </w:r>
      <w:r>
        <w:rPr>
          <w:rFonts w:hint="eastAsia" w:ascii="仿宋" w:hAnsi="仿宋" w:eastAsia="仿宋"/>
          <w:sz w:val="32"/>
          <w:szCs w:val="32"/>
        </w:rPr>
        <w:t>公安交管大数据指挥中心业务技术用房建设1000万元。同时上年结转项目资金增加606.4万元，预算总收入增加853.35万元。</w:t>
      </w:r>
    </w:p>
    <w:p>
      <w:pPr>
        <w:pStyle w:val="9"/>
        <w:spacing w:before="0" w:line="560" w:lineRule="exact"/>
        <w:ind w:firstLine="630"/>
        <w:rPr>
          <w:rFonts w:hint="eastAsia" w:ascii="仿宋" w:hAnsi="仿宋" w:eastAsia="仿宋" w:cs="宋体"/>
          <w:sz w:val="32"/>
          <w:szCs w:val="32"/>
        </w:rPr>
      </w:pPr>
      <w:r>
        <w:rPr>
          <w:rFonts w:hint="eastAsia" w:ascii="仿宋" w:hAnsi="仿宋" w:eastAsia="仿宋" w:cs="宋体"/>
          <w:sz w:val="32"/>
          <w:szCs w:val="32"/>
        </w:rPr>
        <w:t>支出包括：公共安全4981.79万元，社会保障和就业支出92.3万元，医疗卫生与计划生育支出22.26万元，住房保障支出42.66万元。</w:t>
      </w:r>
    </w:p>
    <w:p>
      <w:pPr>
        <w:pStyle w:val="9"/>
        <w:spacing w:before="0" w:line="560" w:lineRule="exact"/>
        <w:ind w:firstLine="645"/>
        <w:rPr>
          <w:rFonts w:hint="eastAsia" w:ascii="仿宋" w:hAnsi="仿宋" w:eastAsia="仿宋" w:cs="宋体"/>
          <w:sz w:val="32"/>
          <w:szCs w:val="32"/>
        </w:rPr>
      </w:pPr>
      <w:r>
        <w:rPr>
          <w:rFonts w:hint="eastAsia" w:ascii="仿宋" w:hAnsi="仿宋" w:eastAsia="仿宋" w:cs="宋体"/>
          <w:bCs/>
          <w:sz w:val="32"/>
          <w:szCs w:val="32"/>
        </w:rPr>
        <w:t>五、一般公共预算当年拨款情况说明</w:t>
      </w:r>
    </w:p>
    <w:p>
      <w:pPr>
        <w:pStyle w:val="9"/>
        <w:spacing w:before="0" w:line="560" w:lineRule="exact"/>
        <w:ind w:firstLine="803" w:firstLineChars="250"/>
        <w:rPr>
          <w:rFonts w:hint="eastAsia" w:ascii="仿宋" w:hAnsi="仿宋" w:eastAsia="仿宋" w:cs="宋体"/>
          <w:b/>
          <w:sz w:val="32"/>
          <w:szCs w:val="32"/>
        </w:rPr>
      </w:pPr>
      <w:r>
        <w:rPr>
          <w:rFonts w:hint="eastAsia" w:ascii="仿宋" w:hAnsi="仿宋" w:eastAsia="仿宋" w:cs="宋体"/>
          <w:b/>
          <w:sz w:val="32"/>
          <w:szCs w:val="32"/>
        </w:rPr>
        <w:t>（一）一般公共预算当年拨款规模变化情况</w:t>
      </w:r>
    </w:p>
    <w:p>
      <w:pPr>
        <w:pStyle w:val="9"/>
        <w:spacing w:before="0" w:line="56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州交警支队2021年一般公共预算当年拨款4170.82万元，同比上年增长246.95万元，主要增长原因2021年预算批复车管业务综合监管系统建设256.49万元。</w:t>
      </w:r>
    </w:p>
    <w:p>
      <w:pPr>
        <w:pStyle w:val="9"/>
        <w:spacing w:before="0" w:line="560" w:lineRule="exact"/>
        <w:ind w:firstLine="482" w:firstLineChars="150"/>
        <w:rPr>
          <w:rFonts w:hint="eastAsia" w:ascii="仿宋" w:hAnsi="仿宋" w:eastAsia="仿宋" w:cs="宋体"/>
          <w:sz w:val="32"/>
          <w:szCs w:val="32"/>
        </w:rPr>
      </w:pPr>
      <w:r>
        <w:rPr>
          <w:rFonts w:hint="eastAsia" w:ascii="仿宋" w:hAnsi="仿宋" w:eastAsia="仿宋" w:cs="宋体"/>
          <w:b/>
          <w:sz w:val="32"/>
          <w:szCs w:val="32"/>
        </w:rPr>
        <w:t>（二）一般公共预算当年拨款结构情况</w:t>
      </w:r>
    </w:p>
    <w:p>
      <w:pPr>
        <w:pStyle w:val="9"/>
        <w:spacing w:before="0" w:line="560" w:lineRule="exact"/>
        <w:ind w:firstLine="630"/>
        <w:rPr>
          <w:rFonts w:hint="eastAsia" w:ascii="仿宋" w:hAnsi="仿宋" w:eastAsia="仿宋" w:cs="宋体"/>
          <w:sz w:val="32"/>
          <w:szCs w:val="32"/>
        </w:rPr>
      </w:pPr>
      <w:r>
        <w:rPr>
          <w:rFonts w:hint="eastAsia" w:ascii="仿宋" w:hAnsi="仿宋" w:eastAsia="仿宋" w:cs="宋体"/>
          <w:sz w:val="32"/>
          <w:szCs w:val="32"/>
        </w:rPr>
        <w:t>公共安全4013.6万元，占当年拨款96.24%；社会保障和就业支出92.3万元，占当年拨款2.21%； 卫生健康支出22.26万元，占当年拨款0.53%；住房保障支出42.66万元，占当年拨款1.02%；。</w:t>
      </w:r>
    </w:p>
    <w:p>
      <w:pPr>
        <w:pStyle w:val="9"/>
        <w:spacing w:before="0" w:line="560" w:lineRule="exact"/>
        <w:ind w:firstLine="630"/>
        <w:rPr>
          <w:rFonts w:hint="eastAsia" w:ascii="仿宋" w:hAnsi="仿宋" w:eastAsia="仿宋" w:cs="宋体"/>
          <w:b/>
          <w:sz w:val="32"/>
          <w:szCs w:val="32"/>
        </w:rPr>
      </w:pPr>
      <w:r>
        <w:rPr>
          <w:rFonts w:hint="eastAsia" w:ascii="仿宋" w:hAnsi="仿宋" w:eastAsia="仿宋" w:cs="宋体"/>
          <w:b/>
          <w:sz w:val="32"/>
          <w:szCs w:val="32"/>
        </w:rPr>
        <w:t>（三）一般公共预算当年拨款具体使用情况</w:t>
      </w:r>
    </w:p>
    <w:p>
      <w:pPr>
        <w:pStyle w:val="9"/>
        <w:spacing w:before="0" w:line="560" w:lineRule="exact"/>
        <w:ind w:firstLine="630"/>
        <w:rPr>
          <w:rFonts w:hint="eastAsia" w:ascii="仿宋" w:hAnsi="仿宋" w:eastAsia="仿宋" w:cs="宋体"/>
          <w:sz w:val="32"/>
          <w:szCs w:val="32"/>
        </w:rPr>
      </w:pPr>
      <w:r>
        <w:rPr>
          <w:rFonts w:hint="eastAsia" w:ascii="仿宋" w:hAnsi="仿宋" w:eastAsia="仿宋" w:cs="宋体"/>
          <w:sz w:val="32"/>
          <w:szCs w:val="32"/>
        </w:rPr>
        <w:t>1．公共安全支出（类）公安（款）行政运行（项目）2021年预算机关工资福利支出为681.22万元，主要用于在职民警和协警基本工资、津贴补贴、奖金、其他社会保障缴费、绩效工资、机关事业单位基本养老保险缴费、职业年金缴费、住房公积金、其他工资福利支出。</w:t>
      </w:r>
    </w:p>
    <w:p>
      <w:pPr>
        <w:pStyle w:val="9"/>
        <w:spacing w:before="0" w:line="560" w:lineRule="exact"/>
        <w:ind w:firstLine="630"/>
        <w:rPr>
          <w:rFonts w:hint="eastAsia" w:ascii="仿宋" w:hAnsi="仿宋" w:eastAsia="仿宋" w:cs="宋体"/>
          <w:sz w:val="32"/>
          <w:szCs w:val="32"/>
        </w:rPr>
      </w:pPr>
      <w:r>
        <w:rPr>
          <w:rFonts w:hint="eastAsia" w:ascii="仿宋" w:hAnsi="仿宋" w:eastAsia="仿宋" w:cs="宋体"/>
          <w:sz w:val="32"/>
          <w:szCs w:val="32"/>
        </w:rPr>
        <w:t>2. 公共安全支出（类）公安（款）行政运行（项目）2021年预算对个人和家庭的补助为0.75万元，主要用于退休职工的管理费。</w:t>
      </w:r>
    </w:p>
    <w:p>
      <w:pPr>
        <w:pStyle w:val="9"/>
        <w:spacing w:before="0" w:line="560" w:lineRule="exact"/>
        <w:ind w:firstLine="630"/>
        <w:rPr>
          <w:rFonts w:hint="eastAsia" w:ascii="仿宋" w:hAnsi="仿宋" w:eastAsia="仿宋" w:cs="宋体"/>
          <w:sz w:val="32"/>
          <w:szCs w:val="32"/>
        </w:rPr>
      </w:pPr>
      <w:r>
        <w:rPr>
          <w:rFonts w:hint="eastAsia" w:ascii="仿宋" w:hAnsi="仿宋" w:eastAsia="仿宋" w:cs="宋体"/>
          <w:sz w:val="32"/>
          <w:szCs w:val="32"/>
        </w:rPr>
        <w:t>3. 公共安全支出（类）公安（款）行政运行（项目）2021年预算商品和服务支出为371.11万元，主要用于保障支队机关正常运转。包括办公费、印刷费、手续费、水费、电费、邮电费、差旅费、维修（护）费、租赁费、会议费、培训费、劳务费、工会经费、福利费、其他交通工具运行维护费、其他商品和服务支出。</w:t>
      </w:r>
    </w:p>
    <w:p>
      <w:pPr>
        <w:pStyle w:val="9"/>
        <w:spacing w:before="0" w:line="560" w:lineRule="exact"/>
        <w:ind w:firstLine="630"/>
        <w:rPr>
          <w:rFonts w:hint="eastAsia" w:ascii="仿宋" w:hAnsi="仿宋" w:eastAsia="仿宋" w:cs="宋体"/>
          <w:sz w:val="32"/>
          <w:szCs w:val="32"/>
        </w:rPr>
      </w:pPr>
      <w:r>
        <w:rPr>
          <w:rFonts w:hint="eastAsia" w:ascii="仿宋" w:hAnsi="仿宋" w:eastAsia="仿宋" w:cs="宋体"/>
          <w:sz w:val="32"/>
          <w:szCs w:val="32"/>
        </w:rPr>
        <w:t>4.公共安全支出（类）公安（款）一般行政事务管理（项目）2021年预算项目13个，经费3131.37万元。.</w:t>
      </w:r>
    </w:p>
    <w:p>
      <w:pPr>
        <w:pStyle w:val="9"/>
        <w:spacing w:before="0" w:line="560" w:lineRule="exact"/>
        <w:ind w:firstLine="630"/>
        <w:rPr>
          <w:rFonts w:hint="eastAsia" w:ascii="仿宋" w:hAnsi="仿宋" w:eastAsia="仿宋" w:cs="宋体"/>
          <w:sz w:val="32"/>
          <w:szCs w:val="32"/>
        </w:rPr>
      </w:pPr>
      <w:r>
        <w:rPr>
          <w:rFonts w:hint="eastAsia" w:ascii="仿宋" w:hAnsi="仿宋" w:eastAsia="仿宋" w:cs="宋体"/>
          <w:sz w:val="32"/>
          <w:szCs w:val="32"/>
        </w:rPr>
        <w:t>（1）交警办公网络租赁费40.8万元，主要用于支队机关和车管所办公点公安专网费用。</w:t>
      </w:r>
    </w:p>
    <w:p>
      <w:pPr>
        <w:pStyle w:val="12"/>
        <w:ind w:firstLine="480" w:firstLineChars="150"/>
        <w:rPr>
          <w:rFonts w:hint="eastAsia" w:ascii="仿宋" w:hAnsi="仿宋" w:eastAsia="仿宋"/>
          <w:sz w:val="32"/>
          <w:szCs w:val="32"/>
        </w:rPr>
      </w:pPr>
      <w:r>
        <w:rPr>
          <w:rFonts w:hint="eastAsia" w:ascii="仿宋" w:hAnsi="仿宋" w:eastAsia="仿宋"/>
          <w:sz w:val="32"/>
          <w:szCs w:val="32"/>
        </w:rPr>
        <w:t>（2）警察法定节假日加班补贴为13.63万元，主要用于根据人力资源和社会保障部、财政部《关于执行人民警察法定工作日之外加班发放补贴有关的通知》精神（人社部发[2017]9号），确保人民警察法定工作日之外加班不能补休的补助。</w:t>
      </w:r>
    </w:p>
    <w:p>
      <w:pPr>
        <w:pStyle w:val="9"/>
        <w:spacing w:before="0" w:line="560" w:lineRule="exact"/>
        <w:ind w:firstLine="480" w:firstLineChars="150"/>
        <w:rPr>
          <w:rFonts w:hint="eastAsia" w:ascii="仿宋" w:hAnsi="仿宋" w:eastAsia="仿宋" w:cs="宋体"/>
          <w:color w:val="FF0000"/>
          <w:sz w:val="32"/>
          <w:szCs w:val="32"/>
        </w:rPr>
      </w:pPr>
      <w:r>
        <w:rPr>
          <w:rFonts w:hint="eastAsia" w:ascii="仿宋" w:hAnsi="仿宋" w:eastAsia="仿宋" w:cs="宋体"/>
          <w:sz w:val="32"/>
          <w:szCs w:val="32"/>
        </w:rPr>
        <w:t>（3）执法勤务装备采购5万元，主要用于支队民辅警90人的警用装备采购</w:t>
      </w:r>
      <w:r>
        <w:rPr>
          <w:rFonts w:hint="eastAsia" w:ascii="仿宋" w:hAnsi="仿宋" w:eastAsia="仿宋" w:cs="宋体"/>
          <w:color w:val="FF0000"/>
          <w:sz w:val="32"/>
          <w:szCs w:val="32"/>
        </w:rPr>
        <w:t>。</w:t>
      </w:r>
    </w:p>
    <w:p>
      <w:pPr>
        <w:pStyle w:val="9"/>
        <w:spacing w:before="0" w:line="560" w:lineRule="exact"/>
        <w:ind w:firstLine="480" w:firstLineChars="150"/>
        <w:rPr>
          <w:rFonts w:hint="eastAsia" w:ascii="仿宋" w:hAnsi="仿宋" w:eastAsia="仿宋" w:cs="宋体"/>
          <w:sz w:val="32"/>
          <w:szCs w:val="32"/>
        </w:rPr>
      </w:pPr>
      <w:r>
        <w:rPr>
          <w:rFonts w:hint="eastAsia" w:ascii="仿宋" w:hAnsi="仿宋" w:eastAsia="仿宋" w:cs="宋体"/>
          <w:sz w:val="32"/>
          <w:szCs w:val="32"/>
        </w:rPr>
        <w:t>（4）车管业务经费70万元，主要用于车管所办理车管业务支出，进一步落实“放管服”改革措施，开展车驾管业务，做好车管业务便民利民服务和交通法律法规宣传教育。</w:t>
      </w:r>
    </w:p>
    <w:p>
      <w:pPr>
        <w:pStyle w:val="9"/>
        <w:spacing w:before="0" w:line="560" w:lineRule="exact"/>
        <w:ind w:firstLine="480" w:firstLineChars="150"/>
        <w:rPr>
          <w:rFonts w:hint="eastAsia" w:ascii="仿宋" w:hAnsi="仿宋" w:eastAsia="仿宋" w:cs="宋体"/>
          <w:sz w:val="32"/>
          <w:szCs w:val="32"/>
        </w:rPr>
      </w:pPr>
      <w:r>
        <w:rPr>
          <w:rFonts w:hint="eastAsia" w:ascii="仿宋" w:hAnsi="仿宋" w:eastAsia="仿宋" w:cs="宋体"/>
          <w:sz w:val="32"/>
          <w:szCs w:val="32"/>
        </w:rPr>
        <w:t>（5）车管业务法定证件采购31万元，根据省公安厅交管局相关文件规定，为推进我州车辆管理工作，更好服务民生和经济社会发展，自2017年7月起，机动车登记证书、行驶证证芯由车管所在公安部交通管理研究所采购。</w:t>
      </w:r>
    </w:p>
    <w:p>
      <w:pPr>
        <w:pStyle w:val="9"/>
        <w:spacing w:before="0" w:line="560" w:lineRule="exact"/>
        <w:ind w:firstLine="480" w:firstLineChars="150"/>
        <w:rPr>
          <w:rFonts w:ascii="仿宋" w:hAnsi="仿宋" w:eastAsia="仿宋" w:cs="宋体"/>
          <w:sz w:val="32"/>
          <w:szCs w:val="32"/>
        </w:rPr>
      </w:pPr>
      <w:r>
        <w:rPr>
          <w:rFonts w:hint="eastAsia" w:ascii="仿宋" w:hAnsi="仿宋" w:eastAsia="仿宋" w:cs="宋体"/>
          <w:sz w:val="32"/>
          <w:szCs w:val="32"/>
        </w:rPr>
        <w:t>（6）车辆大修15万元，主要用于川U77007、川UT3638、川U0852U3辆车大修。</w:t>
      </w:r>
    </w:p>
    <w:p>
      <w:pPr>
        <w:pStyle w:val="9"/>
        <w:spacing w:before="0" w:line="560" w:lineRule="exact"/>
        <w:ind w:firstLine="480" w:firstLineChars="150"/>
        <w:rPr>
          <w:rFonts w:hint="eastAsia" w:ascii="仿宋" w:hAnsi="仿宋" w:eastAsia="仿宋" w:cs="宋体"/>
          <w:sz w:val="32"/>
          <w:szCs w:val="32"/>
        </w:rPr>
      </w:pPr>
      <w:r>
        <w:rPr>
          <w:rFonts w:hint="eastAsia" w:ascii="仿宋" w:hAnsi="仿宋" w:eastAsia="仿宋" w:cs="宋体"/>
          <w:sz w:val="32"/>
          <w:szCs w:val="32"/>
        </w:rPr>
        <w:t>（7）道路交通管理业务费410万元，主要用于全州道路交通安全管控及交通安全宣传业务支出，开展重点车辆和重点违法行为整治，农村道路交通管理大会战，事故源头综合治理大会战等专项整治行动。</w:t>
      </w:r>
    </w:p>
    <w:p>
      <w:pPr>
        <w:pStyle w:val="9"/>
        <w:spacing w:before="0" w:line="56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（8）道路交通综合智能监控系统956万元（2017年已采购招标），主要用于 2018年-2022年新建道路交通综合智能监控系统的租赁费，按招投标每年租赁费为956万元，财政年初预算安排956万元。</w:t>
      </w:r>
    </w:p>
    <w:p>
      <w:pPr>
        <w:pStyle w:val="9"/>
        <w:spacing w:before="0" w:line="56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（9）机动车机动车号牌及材料费109.45万元（2020年已完成采购招标），主要用于全州新增及补办机动车号牌、固封螺丝、机动车及驾驶证工本费等支出。</w:t>
      </w:r>
    </w:p>
    <w:p>
      <w:pPr>
        <w:pStyle w:val="9"/>
        <w:spacing w:before="0" w:line="56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（10）交警网络租赁维护费108万元，主要用于全州交警交警云平台、客运和维护车辆智能监控系统、公安专网租赁费，公安交警网络综合运行维护费及驾驶人考试监管系统线路租赁费。</w:t>
      </w:r>
    </w:p>
    <w:p>
      <w:pPr>
        <w:pStyle w:val="9"/>
        <w:spacing w:before="0" w:line="56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（11）交警警信平台租赁费116万元，根据2020年6月交警警信平台招标采购合同，交警警信平台租赁费服务期3年，租赁费116万元。</w:t>
      </w:r>
    </w:p>
    <w:p>
      <w:pPr>
        <w:pStyle w:val="9"/>
        <w:spacing w:before="0" w:line="56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（12）公安交管大数据指挥中心业务技术用房建设1000万元，公安交管大数据指挥中心规划建设在马尔康卓克基镇，概算总投资4500万元，预计2021年建设完工。</w:t>
      </w:r>
    </w:p>
    <w:p>
      <w:pPr>
        <w:pStyle w:val="9"/>
        <w:spacing w:before="0" w:line="56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13）车管业务综合监管系统建设256.49万元，为进一步深化公安交管“放管服”改革，深入推进道路交通事故预防“减量控大”工作，根据公安部和省公安厅加强和规范机动车和驾驶证业务监管的要求，推广综合监管系统，强化车驾管业务全渠道监管。</w:t>
      </w:r>
    </w:p>
    <w:p>
      <w:pPr>
        <w:pStyle w:val="9"/>
        <w:spacing w:before="0" w:line="56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（14）上年结转机动车号牌及材料费10万元，用于支付2020年四季度机动车号牌及材料待付款。</w:t>
      </w:r>
    </w:p>
    <w:p>
      <w:pPr>
        <w:pStyle w:val="9"/>
        <w:spacing w:before="0" w:line="56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（15）上年车管所房屋维修应付款30万元，用于支付2020年车管所维修待付款。</w:t>
      </w:r>
    </w:p>
    <w:p>
      <w:pPr>
        <w:pStyle w:val="9"/>
        <w:spacing w:before="0" w:line="56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（16）上年结转2020年省专下达交警业务装备经费442.11万元，用于交警业务装备的采购款。</w:t>
      </w:r>
    </w:p>
    <w:p>
      <w:pPr>
        <w:pStyle w:val="9"/>
        <w:spacing w:before="0" w:line="560" w:lineRule="exact"/>
        <w:ind w:firstLine="640" w:firstLineChars="200"/>
        <w:rPr>
          <w:rFonts w:hint="eastAsia" w:ascii="仿宋" w:hAnsi="仿宋" w:eastAsia="仿宋"/>
          <w:sz w:val="32"/>
          <w:szCs w:val="32"/>
        </w:rPr>
      </w:pPr>
      <w:r>
        <w:rPr>
          <w:rFonts w:hint="eastAsia" w:ascii="仿宋" w:hAnsi="仿宋" w:eastAsia="仿宋" w:cs="宋体"/>
          <w:sz w:val="32"/>
          <w:szCs w:val="32"/>
        </w:rPr>
        <w:t>（17）上年结转2020年省专下达交警业务经费56.09万元，继续用于2021年交警业务支出</w:t>
      </w:r>
      <w:r>
        <w:rPr>
          <w:rFonts w:hint="eastAsia" w:ascii="仿宋" w:hAnsi="仿宋" w:eastAsia="仿宋"/>
          <w:sz w:val="32"/>
          <w:szCs w:val="32"/>
        </w:rPr>
        <w:t>。</w:t>
      </w:r>
    </w:p>
    <w:p>
      <w:pPr>
        <w:pStyle w:val="9"/>
        <w:spacing w:before="0" w:line="560" w:lineRule="exact"/>
        <w:ind w:firstLine="640" w:firstLineChars="200"/>
        <w:rPr>
          <w:rFonts w:ascii="仿宋" w:hAnsi="仿宋" w:eastAsia="仿宋"/>
          <w:sz w:val="32"/>
          <w:szCs w:val="32"/>
        </w:rPr>
      </w:pPr>
      <w:r>
        <w:rPr>
          <w:rFonts w:hint="eastAsia" w:ascii="仿宋" w:hAnsi="仿宋" w:eastAsia="仿宋"/>
          <w:sz w:val="32"/>
          <w:szCs w:val="32"/>
        </w:rPr>
        <w:t>（18）上年结转2020年道路交通综合智能监控系统租赁费430万元，用于支付2020年第二、第三、第四季度综合智能监控系统租赁费用。</w:t>
      </w:r>
    </w:p>
    <w:p>
      <w:pPr>
        <w:pStyle w:val="9"/>
        <w:spacing w:before="0" w:line="560" w:lineRule="exact"/>
        <w:ind w:firstLine="640" w:firstLineChars="200"/>
        <w:rPr>
          <w:rFonts w:hint="eastAsia" w:ascii="仿宋" w:hAnsi="仿宋" w:eastAsia="仿宋" w:cs="宋体"/>
          <w:bCs/>
          <w:sz w:val="32"/>
          <w:szCs w:val="32"/>
        </w:rPr>
      </w:pPr>
      <w:r>
        <w:rPr>
          <w:rFonts w:hint="eastAsia" w:ascii="仿宋" w:hAnsi="仿宋" w:eastAsia="仿宋" w:cs="宋体"/>
          <w:bCs/>
          <w:sz w:val="32"/>
          <w:szCs w:val="32"/>
        </w:rPr>
        <w:t>六、一般公共预算基本支出情况说明</w:t>
      </w:r>
    </w:p>
    <w:p>
      <w:pPr>
        <w:pStyle w:val="9"/>
        <w:spacing w:before="0" w:line="56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州交警支队2021年一般公共预算基本支出1039.45万元，其中：</w:t>
      </w:r>
    </w:p>
    <w:p>
      <w:pPr>
        <w:pStyle w:val="9"/>
        <w:spacing w:before="0" w:line="56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一）人员经费667.59万元，主要包括：基本工资、津贴补贴、奖金、其他社会保障缴费、机关事业单位基本养老保险缴费、职业年金缴费、其他工资福利支出、退休费、奖励金、住房公积金、其他对个人和家庭的补助支出。</w:t>
      </w:r>
    </w:p>
    <w:p>
      <w:pPr>
        <w:pStyle w:val="9"/>
        <w:spacing w:before="0" w:line="560" w:lineRule="exact"/>
        <w:ind w:firstLine="640" w:firstLineChars="200"/>
        <w:rPr>
          <w:rFonts w:hint="eastAsia" w:ascii="仿宋" w:hAnsi="仿宋" w:eastAsia="仿宋" w:cs="宋体"/>
          <w:bCs/>
          <w:sz w:val="32"/>
          <w:szCs w:val="32"/>
        </w:rPr>
      </w:pPr>
      <w:r>
        <w:rPr>
          <w:rFonts w:hint="eastAsia" w:ascii="仿宋" w:hAnsi="仿宋" w:eastAsia="仿宋" w:cs="宋体"/>
          <w:sz w:val="32"/>
          <w:szCs w:val="32"/>
        </w:rPr>
        <w:t>（二）公用经费371.11万元，主要包括：办公费、印刷费、手续费、水费、电费、邮电费、差旅费、维修（护）费、租赁费、会议费、培训费、劳务费、工会经费、福利费、其他交通工具运行维护费、其他商品和服务支出。</w:t>
      </w:r>
      <w:r>
        <w:rPr>
          <w:rFonts w:hint="eastAsia" w:ascii="仿宋" w:hAnsi="仿宋" w:eastAsia="仿宋" w:cs="宋体"/>
          <w:sz w:val="32"/>
          <w:szCs w:val="32"/>
        </w:rPr>
        <w:br w:type="textWrapping"/>
      </w:r>
      <w:r>
        <w:rPr>
          <w:rFonts w:hint="eastAsia" w:ascii="仿宋" w:hAnsi="仿宋" w:eastAsia="仿宋" w:cs="宋体"/>
          <w:b/>
          <w:bCs/>
          <w:sz w:val="32"/>
          <w:szCs w:val="32"/>
        </w:rPr>
        <w:t>　　</w:t>
      </w:r>
      <w:r>
        <w:rPr>
          <w:rFonts w:hint="eastAsia" w:ascii="仿宋" w:hAnsi="仿宋" w:eastAsia="仿宋" w:cs="宋体"/>
          <w:bCs/>
          <w:sz w:val="32"/>
          <w:szCs w:val="32"/>
        </w:rPr>
        <w:t>七、“三公”经费财政拨款预算安排情况说明</w:t>
      </w:r>
    </w:p>
    <w:p>
      <w:pPr>
        <w:pStyle w:val="9"/>
        <w:spacing w:before="0" w:line="560" w:lineRule="exact"/>
        <w:ind w:firstLine="320" w:firstLineChars="100"/>
        <w:rPr>
          <w:rFonts w:hint="eastAsia" w:ascii="仿宋" w:hAnsi="仿宋" w:eastAsia="仿宋" w:cs="宋体"/>
          <w:sz w:val="32"/>
          <w:szCs w:val="32"/>
        </w:rPr>
      </w:pPr>
      <w:r>
        <w:rPr>
          <w:rFonts w:hint="eastAsia" w:ascii="仿宋" w:hAnsi="仿宋" w:eastAsia="仿宋" w:cs="宋体"/>
          <w:sz w:val="32"/>
          <w:szCs w:val="32"/>
        </w:rPr>
        <w:t>　州交警支队2021年“三公”经费财政拨款预算数274.08万元，其中：因公出国（境）经费0万元，公务接待费7.08万元，公务用车购置及运行维护费267万元。</w:t>
      </w:r>
    </w:p>
    <w:p>
      <w:pPr>
        <w:pStyle w:val="9"/>
        <w:spacing w:before="0" w:line="56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（一）2021年因公出国（境）经费0万元。与2019年一致。</w:t>
      </w:r>
    </w:p>
    <w:p>
      <w:pPr>
        <w:pStyle w:val="9"/>
        <w:spacing w:before="0" w:line="560" w:lineRule="exact"/>
        <w:ind w:firstLine="320" w:firstLineChars="100"/>
        <w:rPr>
          <w:rFonts w:hint="eastAsia" w:ascii="仿宋" w:hAnsi="仿宋" w:eastAsia="仿宋" w:cs="宋体"/>
          <w:sz w:val="32"/>
          <w:szCs w:val="32"/>
        </w:rPr>
      </w:pPr>
      <w:r>
        <w:rPr>
          <w:rFonts w:hint="eastAsia" w:ascii="仿宋" w:hAnsi="仿宋" w:eastAsia="仿宋" w:cs="宋体"/>
          <w:sz w:val="32"/>
          <w:szCs w:val="32"/>
        </w:rPr>
        <w:t>　（二）2021年因公务接待经费7.08万元。较2020年预算经费7.07万元增加0.14%。预计2021年公务接待批次为15次，接待人数120余人次。</w:t>
      </w:r>
    </w:p>
    <w:p>
      <w:pPr>
        <w:widowControl/>
        <w:spacing w:line="210" w:lineRule="atLeast"/>
        <w:ind w:firstLine="640"/>
        <w:jc w:val="left"/>
        <w:rPr>
          <w:rFonts w:ascii="仿宋" w:hAnsi="仿宋" w:eastAsia="仿宋" w:cs="Arial"/>
          <w:color w:val="333333"/>
          <w:kern w:val="0"/>
          <w:sz w:val="12"/>
          <w:szCs w:val="12"/>
        </w:rPr>
      </w:pPr>
      <w:r>
        <w:rPr>
          <w:rFonts w:hint="eastAsia" w:ascii="仿宋" w:hAnsi="仿宋" w:eastAsia="仿宋" w:cs="宋体"/>
          <w:sz w:val="32"/>
          <w:szCs w:val="32"/>
        </w:rPr>
        <w:t>　</w:t>
      </w:r>
      <w:r>
        <w:rPr>
          <w:rFonts w:hint="eastAsia" w:ascii="仿宋" w:hAnsi="仿宋" w:eastAsia="仿宋" w:cs="宋体"/>
          <w:kern w:val="0"/>
          <w:sz w:val="32"/>
          <w:szCs w:val="32"/>
        </w:rPr>
        <w:t>（三）2021年公务用车购置及运行维护费267万元，较2020年预算经费298万元减少10.4%，主要原因是：按照2021年工作重点，加强新型冠状病毒感染肺炎疫情，加强道路交通安全综合治理和事故预防，车辆运行维护将有所增加。</w:t>
      </w:r>
      <w:r>
        <w:rPr>
          <w:rFonts w:hint="eastAsia" w:ascii="仿宋" w:hAnsi="仿宋" w:eastAsia="仿宋" w:cs="宋体"/>
          <w:sz w:val="32"/>
          <w:szCs w:val="32"/>
        </w:rPr>
        <w:t>2021年州交警支队公务用车保有量为45辆，单车运行经费预计为5.93万元。</w:t>
      </w:r>
    </w:p>
    <w:p>
      <w:pPr>
        <w:pStyle w:val="9"/>
        <w:spacing w:before="0" w:line="560" w:lineRule="exact"/>
        <w:ind w:firstLine="320" w:firstLineChars="100"/>
        <w:rPr>
          <w:rFonts w:hint="eastAsia" w:ascii="仿宋" w:hAnsi="仿宋" w:eastAsia="仿宋" w:cs="宋体"/>
          <w:sz w:val="32"/>
          <w:szCs w:val="32"/>
        </w:rPr>
      </w:pPr>
      <w:r>
        <w:rPr>
          <w:rFonts w:hint="eastAsia" w:ascii="仿宋" w:hAnsi="仿宋" w:eastAsia="仿宋" w:cs="宋体"/>
          <w:sz w:val="32"/>
          <w:szCs w:val="32"/>
        </w:rPr>
        <w:t>　八、</w:t>
      </w:r>
      <w:r>
        <w:rPr>
          <w:rFonts w:hint="eastAsia" w:ascii="仿宋" w:hAnsi="仿宋" w:eastAsia="仿宋" w:cs="宋体"/>
          <w:bCs/>
          <w:sz w:val="32"/>
          <w:szCs w:val="32"/>
        </w:rPr>
        <w:t>其他重要事项的情况说明</w:t>
      </w:r>
    </w:p>
    <w:p>
      <w:pPr>
        <w:pStyle w:val="9"/>
        <w:spacing w:before="0" w:line="560" w:lineRule="exact"/>
        <w:ind w:firstLine="482" w:firstLineChars="150"/>
        <w:rPr>
          <w:rFonts w:hint="eastAsia" w:ascii="仿宋" w:hAnsi="仿宋" w:eastAsia="仿宋" w:cs="宋体"/>
          <w:b/>
          <w:sz w:val="32"/>
          <w:szCs w:val="32"/>
        </w:rPr>
      </w:pPr>
      <w:r>
        <w:rPr>
          <w:rFonts w:hint="eastAsia" w:ascii="仿宋" w:hAnsi="仿宋" w:eastAsia="仿宋" w:cs="宋体"/>
          <w:b/>
          <w:sz w:val="32"/>
          <w:szCs w:val="32"/>
        </w:rPr>
        <w:t>（一）机关运行经费</w:t>
      </w:r>
    </w:p>
    <w:p>
      <w:pPr>
        <w:pStyle w:val="9"/>
        <w:spacing w:before="0" w:line="560" w:lineRule="exact"/>
        <w:ind w:firstLine="480" w:firstLineChars="150"/>
        <w:rPr>
          <w:rFonts w:hint="eastAsia" w:ascii="仿宋" w:hAnsi="仿宋" w:eastAsia="仿宋" w:cs="宋体"/>
          <w:sz w:val="32"/>
          <w:szCs w:val="32"/>
        </w:rPr>
      </w:pPr>
      <w:r>
        <w:rPr>
          <w:rFonts w:hint="eastAsia" w:ascii="仿宋" w:hAnsi="仿宋" w:eastAsia="仿宋" w:cs="宋体"/>
          <w:sz w:val="32"/>
          <w:szCs w:val="32"/>
        </w:rPr>
        <w:t>州交警支队2021年机关运行经费财政拨款预算为371.11万元，比2020年预算增加1.18万元，增加0.32%。</w:t>
      </w:r>
    </w:p>
    <w:p>
      <w:pPr>
        <w:pStyle w:val="9"/>
        <w:spacing w:before="0" w:line="560" w:lineRule="exact"/>
        <w:ind w:firstLine="643" w:firstLineChars="200"/>
        <w:rPr>
          <w:rFonts w:hint="eastAsia" w:ascii="仿宋" w:hAnsi="仿宋" w:eastAsia="仿宋" w:cs="宋体"/>
          <w:sz w:val="32"/>
          <w:szCs w:val="32"/>
        </w:rPr>
      </w:pPr>
      <w:r>
        <w:rPr>
          <w:rFonts w:hint="eastAsia" w:ascii="仿宋" w:hAnsi="仿宋" w:eastAsia="仿宋" w:cs="宋体"/>
          <w:b/>
          <w:sz w:val="32"/>
          <w:szCs w:val="32"/>
        </w:rPr>
        <w:t>（二）政府采购情况</w:t>
      </w:r>
    </w:p>
    <w:p>
      <w:pPr>
        <w:pStyle w:val="9"/>
        <w:spacing w:before="0" w:line="560" w:lineRule="exact"/>
        <w:ind w:firstLine="480" w:firstLineChars="150"/>
        <w:rPr>
          <w:rFonts w:hint="eastAsia" w:ascii="仿宋" w:hAnsi="仿宋" w:eastAsia="仿宋" w:cs="宋体"/>
          <w:sz w:val="32"/>
          <w:szCs w:val="32"/>
        </w:rPr>
      </w:pPr>
      <w:r>
        <w:rPr>
          <w:rFonts w:hint="eastAsia" w:ascii="仿宋" w:hAnsi="仿宋" w:eastAsia="仿宋" w:cs="宋体"/>
          <w:sz w:val="32"/>
          <w:szCs w:val="32"/>
        </w:rPr>
        <w:t>　2021年州交警支队安排政府采购预算1370.45万元，主要用于：</w:t>
      </w:r>
    </w:p>
    <w:p>
      <w:pPr>
        <w:pStyle w:val="9"/>
        <w:spacing w:before="0" w:line="560" w:lineRule="exact"/>
        <w:ind w:firstLine="800" w:firstLineChars="250"/>
        <w:rPr>
          <w:rFonts w:hint="eastAsia" w:ascii="仿宋" w:hAnsi="仿宋" w:eastAsia="仿宋" w:cs="宋体"/>
          <w:color w:val="FF0000"/>
          <w:sz w:val="32"/>
          <w:szCs w:val="32"/>
        </w:rPr>
      </w:pPr>
      <w:r>
        <w:rPr>
          <w:rFonts w:hint="eastAsia" w:ascii="仿宋" w:hAnsi="仿宋" w:eastAsia="仿宋" w:cs="宋体"/>
          <w:color w:val="FF0000"/>
          <w:sz w:val="32"/>
          <w:szCs w:val="32"/>
        </w:rPr>
        <w:t>1.执法勤务装备采购5万元。</w:t>
      </w:r>
    </w:p>
    <w:p>
      <w:pPr>
        <w:pStyle w:val="9"/>
        <w:spacing w:before="0" w:line="560" w:lineRule="exact"/>
        <w:ind w:firstLine="800" w:firstLineChars="250"/>
        <w:rPr>
          <w:rFonts w:hint="eastAsia" w:ascii="仿宋" w:hAnsi="仿宋" w:eastAsia="仿宋" w:cs="宋体"/>
          <w:sz w:val="32"/>
          <w:szCs w:val="32"/>
        </w:rPr>
      </w:pPr>
      <w:r>
        <w:rPr>
          <w:rFonts w:hint="eastAsia" w:ascii="仿宋" w:hAnsi="仿宋" w:eastAsia="仿宋" w:cs="宋体"/>
          <w:sz w:val="32"/>
          <w:szCs w:val="32"/>
        </w:rPr>
        <w:t>2.车管所维修30万元（2020年已招标）。</w:t>
      </w:r>
    </w:p>
    <w:p>
      <w:pPr>
        <w:pStyle w:val="9"/>
        <w:spacing w:before="0" w:line="560" w:lineRule="exact"/>
        <w:ind w:firstLine="800" w:firstLineChars="250"/>
        <w:rPr>
          <w:rFonts w:hint="eastAsia" w:ascii="仿宋" w:hAnsi="仿宋" w:eastAsia="仿宋" w:cs="宋体"/>
          <w:color w:val="FF0000"/>
          <w:sz w:val="32"/>
          <w:szCs w:val="32"/>
        </w:rPr>
      </w:pPr>
      <w:r>
        <w:rPr>
          <w:rFonts w:hint="eastAsia" w:ascii="仿宋" w:hAnsi="仿宋" w:eastAsia="仿宋" w:cs="宋体"/>
          <w:color w:val="FF0000"/>
          <w:sz w:val="32"/>
          <w:szCs w:val="32"/>
        </w:rPr>
        <w:t>3.车辆大修15万元。</w:t>
      </w:r>
    </w:p>
    <w:p>
      <w:pPr>
        <w:pStyle w:val="9"/>
        <w:spacing w:before="0" w:line="560" w:lineRule="exact"/>
        <w:ind w:firstLine="800" w:firstLineChars="250"/>
        <w:rPr>
          <w:rFonts w:hint="eastAsia" w:ascii="仿宋" w:hAnsi="仿宋" w:eastAsia="仿宋" w:cs="宋体"/>
          <w:sz w:val="32"/>
          <w:szCs w:val="32"/>
        </w:rPr>
      </w:pPr>
      <w:r>
        <w:rPr>
          <w:rFonts w:hint="eastAsia" w:ascii="仿宋" w:hAnsi="仿宋" w:eastAsia="仿宋" w:cs="宋体"/>
          <w:color w:val="FF0000"/>
          <w:sz w:val="32"/>
          <w:szCs w:val="32"/>
        </w:rPr>
        <w:t>4.机动车号牌及材料采购109.45万元（2020年已招标）</w:t>
      </w:r>
      <w:r>
        <w:rPr>
          <w:rFonts w:hint="eastAsia" w:ascii="仿宋" w:hAnsi="仿宋" w:eastAsia="仿宋" w:cs="宋体"/>
          <w:sz w:val="32"/>
          <w:szCs w:val="32"/>
        </w:rPr>
        <w:t>。</w:t>
      </w:r>
    </w:p>
    <w:p>
      <w:pPr>
        <w:pStyle w:val="9"/>
        <w:spacing w:before="0" w:line="560" w:lineRule="exact"/>
        <w:ind w:firstLine="800" w:firstLineChars="250"/>
        <w:rPr>
          <w:rFonts w:hint="eastAsia" w:ascii="仿宋" w:hAnsi="仿宋" w:eastAsia="仿宋" w:cs="宋体"/>
          <w:color w:val="FF0000"/>
          <w:sz w:val="32"/>
          <w:szCs w:val="32"/>
        </w:rPr>
      </w:pPr>
      <w:r>
        <w:rPr>
          <w:rFonts w:hint="eastAsia" w:ascii="仿宋" w:hAnsi="仿宋" w:eastAsia="仿宋" w:cs="宋体"/>
          <w:color w:val="FF0000"/>
          <w:sz w:val="32"/>
          <w:szCs w:val="32"/>
        </w:rPr>
        <w:t>5.全州道路交通综合智能监控系统956万元（2017年已招标）。</w:t>
      </w:r>
    </w:p>
    <w:p>
      <w:pPr>
        <w:pStyle w:val="9"/>
        <w:spacing w:before="0" w:line="560" w:lineRule="exact"/>
        <w:ind w:firstLine="800" w:firstLineChars="250"/>
        <w:rPr>
          <w:rFonts w:hint="eastAsia" w:ascii="仿宋" w:hAnsi="仿宋" w:eastAsia="仿宋" w:cs="宋体"/>
          <w:color w:val="FF0000"/>
          <w:sz w:val="32"/>
          <w:szCs w:val="32"/>
        </w:rPr>
      </w:pPr>
      <w:r>
        <w:rPr>
          <w:rFonts w:hint="eastAsia" w:ascii="仿宋" w:hAnsi="仿宋" w:eastAsia="仿宋" w:cs="宋体"/>
          <w:color w:val="FF0000"/>
          <w:sz w:val="32"/>
          <w:szCs w:val="32"/>
        </w:rPr>
        <w:t>6.交警网络租赁维护费108万元（2018年已招标）。　</w:t>
      </w:r>
    </w:p>
    <w:p>
      <w:pPr>
        <w:pStyle w:val="9"/>
        <w:spacing w:before="0" w:line="560" w:lineRule="exact"/>
        <w:ind w:firstLine="800" w:firstLineChars="250"/>
        <w:rPr>
          <w:rFonts w:hint="eastAsia" w:ascii="仿宋" w:hAnsi="仿宋" w:eastAsia="仿宋" w:cs="宋体"/>
          <w:color w:val="FF0000"/>
          <w:sz w:val="32"/>
          <w:szCs w:val="32"/>
        </w:rPr>
      </w:pPr>
      <w:r>
        <w:rPr>
          <w:rFonts w:hint="eastAsia" w:ascii="仿宋" w:hAnsi="仿宋" w:eastAsia="仿宋" w:cs="宋体"/>
          <w:color w:val="FF0000"/>
          <w:sz w:val="32"/>
          <w:szCs w:val="32"/>
        </w:rPr>
        <w:t>7.车管业务法定证件采购31万元。</w:t>
      </w:r>
    </w:p>
    <w:p>
      <w:pPr>
        <w:pStyle w:val="9"/>
        <w:spacing w:before="0" w:line="560" w:lineRule="exact"/>
        <w:ind w:firstLine="800" w:firstLineChars="250"/>
        <w:rPr>
          <w:rFonts w:hint="eastAsia" w:ascii="仿宋" w:hAnsi="仿宋" w:eastAsia="仿宋" w:cs="宋体"/>
          <w:color w:val="FF0000"/>
          <w:sz w:val="32"/>
          <w:szCs w:val="32"/>
        </w:rPr>
      </w:pPr>
      <w:r>
        <w:rPr>
          <w:rFonts w:hint="eastAsia" w:ascii="仿宋" w:hAnsi="仿宋" w:eastAsia="仿宋" w:cs="宋体"/>
          <w:color w:val="FF0000"/>
          <w:sz w:val="32"/>
          <w:szCs w:val="32"/>
        </w:rPr>
        <w:t>8.交警警信平台租赁费116万元（2020年已招标）。</w:t>
      </w:r>
    </w:p>
    <w:p>
      <w:pPr>
        <w:pStyle w:val="9"/>
        <w:spacing w:before="0" w:line="560" w:lineRule="exact"/>
        <w:ind w:firstLine="320" w:firstLineChars="100"/>
        <w:rPr>
          <w:rFonts w:hint="eastAsia" w:ascii="仿宋" w:hAnsi="仿宋" w:eastAsia="仿宋" w:cs="宋体"/>
          <w:b/>
          <w:sz w:val="32"/>
          <w:szCs w:val="32"/>
        </w:rPr>
      </w:pPr>
      <w:r>
        <w:rPr>
          <w:rFonts w:hint="eastAsia" w:ascii="仿宋" w:hAnsi="仿宋" w:eastAsia="仿宋" w:cs="宋体"/>
          <w:sz w:val="32"/>
          <w:szCs w:val="32"/>
        </w:rPr>
        <w:t>　</w:t>
      </w:r>
      <w:r>
        <w:rPr>
          <w:rFonts w:hint="eastAsia" w:ascii="仿宋" w:hAnsi="仿宋" w:eastAsia="仿宋" w:cs="宋体"/>
          <w:b/>
          <w:sz w:val="32"/>
          <w:szCs w:val="32"/>
        </w:rPr>
        <w:t>（三）绩效目标设置情况</w:t>
      </w:r>
    </w:p>
    <w:p>
      <w:pPr>
        <w:pStyle w:val="9"/>
        <w:spacing w:before="0" w:line="560" w:lineRule="exact"/>
        <w:ind w:firstLine="320" w:firstLineChars="100"/>
        <w:rPr>
          <w:rFonts w:hint="eastAsia" w:ascii="仿宋" w:hAnsi="仿宋" w:eastAsia="仿宋" w:cs="宋体"/>
          <w:sz w:val="32"/>
          <w:szCs w:val="32"/>
        </w:rPr>
      </w:pPr>
      <w:r>
        <w:rPr>
          <w:rFonts w:hint="eastAsia" w:ascii="仿宋" w:hAnsi="仿宋" w:eastAsia="仿宋" w:cs="宋体"/>
          <w:sz w:val="32"/>
          <w:szCs w:val="32"/>
        </w:rPr>
        <w:t>　2021年州交警支队通用项目和专用项目均按要求实行绩效目标管理，涉及一般公共预算当年项目拨款3131.37万元。</w:t>
      </w:r>
    </w:p>
    <w:p>
      <w:pPr>
        <w:pStyle w:val="9"/>
        <w:spacing w:before="0" w:line="560" w:lineRule="exact"/>
        <w:ind w:firstLine="643" w:firstLineChars="200"/>
        <w:rPr>
          <w:rFonts w:hint="eastAsia" w:ascii="仿宋" w:hAnsi="仿宋" w:eastAsia="仿宋" w:cs="宋体"/>
          <w:b/>
          <w:bCs/>
          <w:sz w:val="32"/>
          <w:szCs w:val="32"/>
        </w:rPr>
      </w:pPr>
      <w:r>
        <w:rPr>
          <w:rFonts w:hint="eastAsia" w:ascii="仿宋" w:hAnsi="仿宋" w:eastAsia="仿宋" w:cs="宋体"/>
          <w:b/>
          <w:bCs/>
          <w:sz w:val="32"/>
          <w:szCs w:val="32"/>
        </w:rPr>
        <w:t>十、名词解释</w:t>
      </w:r>
    </w:p>
    <w:p>
      <w:pPr>
        <w:pStyle w:val="9"/>
        <w:spacing w:before="0" w:line="560" w:lineRule="exact"/>
        <w:ind w:firstLine="480" w:firstLineChars="150"/>
        <w:rPr>
          <w:rFonts w:hint="eastAsia" w:ascii="仿宋" w:hAnsi="仿宋" w:eastAsia="仿宋" w:cs="宋体"/>
          <w:sz w:val="32"/>
          <w:szCs w:val="32"/>
        </w:rPr>
      </w:pPr>
      <w:r>
        <w:rPr>
          <w:rFonts w:hint="eastAsia" w:ascii="仿宋" w:hAnsi="仿宋" w:eastAsia="仿宋" w:cs="宋体"/>
          <w:sz w:val="32"/>
          <w:szCs w:val="32"/>
        </w:rPr>
        <w:t>（一）财政拨款收入：指由财政拨款形成的部门收入。按现行管理制度，部门预算中反映的财政拨款仅包括一般公共预算拨款和政府性基金预算拨款。</w:t>
      </w:r>
    </w:p>
    <w:p>
      <w:pPr>
        <w:pStyle w:val="9"/>
        <w:spacing w:before="0" w:line="560" w:lineRule="exact"/>
        <w:ind w:firstLine="480" w:firstLineChars="150"/>
        <w:rPr>
          <w:rFonts w:hint="eastAsia" w:ascii="仿宋" w:hAnsi="仿宋" w:eastAsia="仿宋" w:cs="宋体"/>
          <w:sz w:val="32"/>
          <w:szCs w:val="32"/>
        </w:rPr>
      </w:pPr>
      <w:r>
        <w:rPr>
          <w:rFonts w:hint="eastAsia" w:ascii="仿宋" w:hAnsi="仿宋" w:eastAsia="仿宋" w:cs="宋体"/>
          <w:sz w:val="32"/>
          <w:szCs w:val="32"/>
        </w:rPr>
        <w:t>（二）事业收入：指所属事业单位开展专业业务活动及辅助活动所取得的收入。</w:t>
      </w:r>
    </w:p>
    <w:p>
      <w:pPr>
        <w:pStyle w:val="9"/>
        <w:spacing w:before="0" w:line="560" w:lineRule="exact"/>
        <w:ind w:firstLine="480" w:firstLineChars="150"/>
        <w:rPr>
          <w:rFonts w:hint="eastAsia" w:ascii="仿宋" w:hAnsi="仿宋" w:eastAsia="仿宋" w:cs="宋体"/>
          <w:sz w:val="32"/>
          <w:szCs w:val="32"/>
        </w:rPr>
      </w:pPr>
      <w:r>
        <w:rPr>
          <w:rFonts w:hint="eastAsia" w:ascii="仿宋" w:hAnsi="仿宋" w:eastAsia="仿宋" w:cs="宋体"/>
          <w:sz w:val="32"/>
          <w:szCs w:val="32"/>
        </w:rPr>
        <w:t>（三）事业单位经营收入：指所属事业单位在专业业务活动及其辅助活动之外开展非独立核算经营活动取得的收入。</w:t>
      </w:r>
    </w:p>
    <w:p>
      <w:pPr>
        <w:pStyle w:val="9"/>
        <w:spacing w:before="0" w:line="560" w:lineRule="exact"/>
        <w:ind w:firstLine="480" w:firstLineChars="150"/>
        <w:rPr>
          <w:rFonts w:hint="eastAsia" w:ascii="仿宋" w:hAnsi="仿宋" w:eastAsia="仿宋" w:cs="宋体"/>
          <w:sz w:val="32"/>
          <w:szCs w:val="32"/>
        </w:rPr>
      </w:pPr>
      <w:r>
        <w:rPr>
          <w:rFonts w:hint="eastAsia" w:ascii="仿宋" w:hAnsi="仿宋" w:eastAsia="仿宋" w:cs="宋体"/>
          <w:sz w:val="32"/>
          <w:szCs w:val="32"/>
        </w:rPr>
        <w:t>（四）其他收入：指除上述“财政拨款收入”、“事业收入”、“事业单位经营收入”等以外的收入，主要是所属行政事业单位按规定动用的售房收入、存款利息收入等。</w:t>
      </w:r>
    </w:p>
    <w:p>
      <w:pPr>
        <w:pStyle w:val="9"/>
        <w:spacing w:before="0" w:line="560" w:lineRule="exact"/>
        <w:ind w:firstLine="480" w:firstLineChars="150"/>
        <w:rPr>
          <w:rFonts w:hint="eastAsia" w:ascii="仿宋" w:hAnsi="仿宋" w:eastAsia="仿宋" w:cs="宋体"/>
          <w:sz w:val="32"/>
          <w:szCs w:val="32"/>
        </w:rPr>
      </w:pPr>
      <w:r>
        <w:rPr>
          <w:rFonts w:hint="eastAsia" w:ascii="仿宋" w:hAnsi="仿宋" w:eastAsia="仿宋" w:cs="宋体"/>
          <w:sz w:val="32"/>
          <w:szCs w:val="32"/>
        </w:rPr>
        <w:t>（五）用事业基金弥补收支差额：指所属事业单位在预计用当年的“财政拨款收入”、“事业收入”、“事业单位经营收入”、“其他收入”不足以安排当年支出的情况下，使用以前年度积累的事业基金弥补本年度收支缺口的资金。</w:t>
      </w:r>
    </w:p>
    <w:p>
      <w:pPr>
        <w:pStyle w:val="9"/>
        <w:spacing w:before="0" w:line="560" w:lineRule="exact"/>
        <w:ind w:firstLine="480" w:firstLineChars="150"/>
        <w:rPr>
          <w:rFonts w:ascii="仿宋" w:hAnsi="仿宋" w:eastAsia="仿宋"/>
          <w:sz w:val="32"/>
          <w:szCs w:val="32"/>
        </w:rPr>
      </w:pPr>
      <w:r>
        <w:rPr>
          <w:rFonts w:hint="eastAsia" w:ascii="仿宋" w:hAnsi="仿宋" w:eastAsia="仿宋" w:cs="宋体"/>
          <w:sz w:val="32"/>
          <w:szCs w:val="32"/>
        </w:rPr>
        <w:t>（六）上年结转：指所属行政事业单位以前年度尚未完成、结转至本年按原规定用途继续使用的资金和以前年度已完成项目剩余资金经批准用于新用途使用的资金。</w:t>
      </w:r>
    </w:p>
    <w:sectPr>
      <w:footerReference r:id="rId3" w:type="default"/>
      <w:pgSz w:w="11906" w:h="16838"/>
      <w:pgMar w:top="2098" w:right="1474" w:bottom="1985" w:left="1588" w:header="851" w:footer="1587"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542473"/>
      <w:docPartObj>
        <w:docPartGallery w:val="AutoText"/>
      </w:docPartObj>
    </w:sdtPr>
    <w:sdtEndPr>
      <w:rPr>
        <w:rFonts w:asciiTheme="minorEastAsia" w:hAnsiTheme="minorEastAsia"/>
        <w:sz w:val="24"/>
        <w:szCs w:val="24"/>
      </w:rPr>
    </w:sdtEndPr>
    <w:sdtContent>
      <w:p>
        <w:pPr>
          <w:pStyle w:val="2"/>
          <w:jc w:val="center"/>
          <w:rPr>
            <w:rFonts w:asciiTheme="minorEastAsia" w:hAnsiTheme="minorEastAsia"/>
            <w:sz w:val="24"/>
            <w:szCs w:val="24"/>
          </w:rPr>
        </w:pPr>
        <w:r>
          <w:rPr>
            <w:rFonts w:asciiTheme="minorEastAsia" w:hAnsiTheme="minorEastAsia"/>
            <w:sz w:val="24"/>
            <w:szCs w:val="24"/>
          </w:rPr>
          <w:fldChar w:fldCharType="begin"/>
        </w:r>
        <w:r>
          <w:rPr>
            <w:rFonts w:asciiTheme="minorEastAsia" w:hAnsiTheme="minorEastAsia"/>
            <w:sz w:val="24"/>
            <w:szCs w:val="24"/>
          </w:rPr>
          <w:instrText xml:space="preserve"> PAGE   \* MERGEFORMAT </w:instrText>
        </w:r>
        <w:r>
          <w:rPr>
            <w:rFonts w:asciiTheme="minorEastAsia" w:hAnsiTheme="minorEastAsia"/>
            <w:sz w:val="24"/>
            <w:szCs w:val="24"/>
          </w:rPr>
          <w:fldChar w:fldCharType="separate"/>
        </w:r>
        <w:r>
          <w:rPr>
            <w:rFonts w:asciiTheme="minorEastAsia" w:hAnsiTheme="minorEastAsia"/>
            <w:sz w:val="24"/>
            <w:szCs w:val="24"/>
            <w:lang w:val="zh-CN"/>
          </w:rPr>
          <w:t>-</w:t>
        </w:r>
        <w:r>
          <w:rPr>
            <w:rFonts w:asciiTheme="minorEastAsia" w:hAnsiTheme="minorEastAsia"/>
            <w:sz w:val="24"/>
            <w:szCs w:val="24"/>
          </w:rPr>
          <w:t xml:space="preserve"> 5 -</w:t>
        </w:r>
        <w:r>
          <w:rPr>
            <w:rFonts w:asciiTheme="minorEastAsia" w:hAnsiTheme="minorEastAsia"/>
            <w:sz w:val="24"/>
            <w:szCs w:val="24"/>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52854"/>
    <w:rsid w:val="00013A10"/>
    <w:rsid w:val="0001414D"/>
    <w:rsid w:val="00014B2C"/>
    <w:rsid w:val="000349CE"/>
    <w:rsid w:val="00045A0A"/>
    <w:rsid w:val="00053611"/>
    <w:rsid w:val="00060034"/>
    <w:rsid w:val="000824B0"/>
    <w:rsid w:val="00085137"/>
    <w:rsid w:val="0008589D"/>
    <w:rsid w:val="000A12FC"/>
    <w:rsid w:val="000B051B"/>
    <w:rsid w:val="000E1284"/>
    <w:rsid w:val="000E2DF8"/>
    <w:rsid w:val="00102B78"/>
    <w:rsid w:val="00125597"/>
    <w:rsid w:val="00127294"/>
    <w:rsid w:val="001367AE"/>
    <w:rsid w:val="001712E4"/>
    <w:rsid w:val="00182D8D"/>
    <w:rsid w:val="00191D0D"/>
    <w:rsid w:val="001971D7"/>
    <w:rsid w:val="001A1C29"/>
    <w:rsid w:val="001A2A3B"/>
    <w:rsid w:val="001A443B"/>
    <w:rsid w:val="001C052A"/>
    <w:rsid w:val="001C1E0A"/>
    <w:rsid w:val="001C729D"/>
    <w:rsid w:val="002032FD"/>
    <w:rsid w:val="00216F50"/>
    <w:rsid w:val="00220B6C"/>
    <w:rsid w:val="002276CE"/>
    <w:rsid w:val="00251236"/>
    <w:rsid w:val="002514E3"/>
    <w:rsid w:val="00262281"/>
    <w:rsid w:val="00274968"/>
    <w:rsid w:val="002841BE"/>
    <w:rsid w:val="002A4344"/>
    <w:rsid w:val="002B14B9"/>
    <w:rsid w:val="002B199A"/>
    <w:rsid w:val="002B271E"/>
    <w:rsid w:val="002D338F"/>
    <w:rsid w:val="002E2A27"/>
    <w:rsid w:val="002F6AA6"/>
    <w:rsid w:val="00300B23"/>
    <w:rsid w:val="0031429D"/>
    <w:rsid w:val="00332805"/>
    <w:rsid w:val="003338D6"/>
    <w:rsid w:val="00335127"/>
    <w:rsid w:val="00352854"/>
    <w:rsid w:val="00374D3E"/>
    <w:rsid w:val="003762A5"/>
    <w:rsid w:val="003779F9"/>
    <w:rsid w:val="00384C8D"/>
    <w:rsid w:val="003901CD"/>
    <w:rsid w:val="003B2DC1"/>
    <w:rsid w:val="003C238E"/>
    <w:rsid w:val="003D39C2"/>
    <w:rsid w:val="004335B7"/>
    <w:rsid w:val="00437E74"/>
    <w:rsid w:val="00447776"/>
    <w:rsid w:val="004479C2"/>
    <w:rsid w:val="00472910"/>
    <w:rsid w:val="00491C7D"/>
    <w:rsid w:val="004B1299"/>
    <w:rsid w:val="004B1815"/>
    <w:rsid w:val="004D055E"/>
    <w:rsid w:val="005039BA"/>
    <w:rsid w:val="00506638"/>
    <w:rsid w:val="005271F9"/>
    <w:rsid w:val="0055658D"/>
    <w:rsid w:val="005622B8"/>
    <w:rsid w:val="00580BD6"/>
    <w:rsid w:val="00592FFE"/>
    <w:rsid w:val="005B431E"/>
    <w:rsid w:val="005D1F47"/>
    <w:rsid w:val="005F0442"/>
    <w:rsid w:val="005F6ED8"/>
    <w:rsid w:val="005F74F1"/>
    <w:rsid w:val="00601BBF"/>
    <w:rsid w:val="00610CF2"/>
    <w:rsid w:val="006133D9"/>
    <w:rsid w:val="0062785E"/>
    <w:rsid w:val="00634BBB"/>
    <w:rsid w:val="0065167B"/>
    <w:rsid w:val="006529BA"/>
    <w:rsid w:val="00652B8C"/>
    <w:rsid w:val="00654C10"/>
    <w:rsid w:val="006632AD"/>
    <w:rsid w:val="006925A6"/>
    <w:rsid w:val="00692A47"/>
    <w:rsid w:val="00694977"/>
    <w:rsid w:val="006A52E3"/>
    <w:rsid w:val="006B0E41"/>
    <w:rsid w:val="006B7451"/>
    <w:rsid w:val="006D41C8"/>
    <w:rsid w:val="006E00DB"/>
    <w:rsid w:val="006F0D04"/>
    <w:rsid w:val="0070500F"/>
    <w:rsid w:val="007058BA"/>
    <w:rsid w:val="007264AC"/>
    <w:rsid w:val="00727914"/>
    <w:rsid w:val="007324AE"/>
    <w:rsid w:val="00771823"/>
    <w:rsid w:val="00775CF2"/>
    <w:rsid w:val="00783B7B"/>
    <w:rsid w:val="007B3677"/>
    <w:rsid w:val="007C71E8"/>
    <w:rsid w:val="007E1DAD"/>
    <w:rsid w:val="00820504"/>
    <w:rsid w:val="00834BC5"/>
    <w:rsid w:val="008479B8"/>
    <w:rsid w:val="00895A00"/>
    <w:rsid w:val="008967E5"/>
    <w:rsid w:val="008A359F"/>
    <w:rsid w:val="008A5E05"/>
    <w:rsid w:val="008C270A"/>
    <w:rsid w:val="008C5AFF"/>
    <w:rsid w:val="008E1AFE"/>
    <w:rsid w:val="008F63EB"/>
    <w:rsid w:val="00903109"/>
    <w:rsid w:val="00906C31"/>
    <w:rsid w:val="00916BE5"/>
    <w:rsid w:val="00923D50"/>
    <w:rsid w:val="00935F69"/>
    <w:rsid w:val="00966423"/>
    <w:rsid w:val="00980F8E"/>
    <w:rsid w:val="009841F2"/>
    <w:rsid w:val="00987B5A"/>
    <w:rsid w:val="009A4C7E"/>
    <w:rsid w:val="009C2031"/>
    <w:rsid w:val="009C65B2"/>
    <w:rsid w:val="009E1AAF"/>
    <w:rsid w:val="009F707F"/>
    <w:rsid w:val="00A104D9"/>
    <w:rsid w:val="00A15C11"/>
    <w:rsid w:val="00A2426D"/>
    <w:rsid w:val="00A43CB9"/>
    <w:rsid w:val="00A65449"/>
    <w:rsid w:val="00A81B63"/>
    <w:rsid w:val="00A9160B"/>
    <w:rsid w:val="00AB1E98"/>
    <w:rsid w:val="00AE7808"/>
    <w:rsid w:val="00B00F94"/>
    <w:rsid w:val="00B05756"/>
    <w:rsid w:val="00B065EB"/>
    <w:rsid w:val="00B07163"/>
    <w:rsid w:val="00B75C41"/>
    <w:rsid w:val="00BB15BC"/>
    <w:rsid w:val="00BB25F8"/>
    <w:rsid w:val="00BB5E0D"/>
    <w:rsid w:val="00BE0F38"/>
    <w:rsid w:val="00C1660D"/>
    <w:rsid w:val="00C22D5A"/>
    <w:rsid w:val="00C43610"/>
    <w:rsid w:val="00C45ECD"/>
    <w:rsid w:val="00C50CEB"/>
    <w:rsid w:val="00C8183B"/>
    <w:rsid w:val="00C92ECA"/>
    <w:rsid w:val="00CA1065"/>
    <w:rsid w:val="00CE43F2"/>
    <w:rsid w:val="00CE5F30"/>
    <w:rsid w:val="00CE76CA"/>
    <w:rsid w:val="00CF31FD"/>
    <w:rsid w:val="00CF4C77"/>
    <w:rsid w:val="00CF5CCC"/>
    <w:rsid w:val="00D024B9"/>
    <w:rsid w:val="00D05908"/>
    <w:rsid w:val="00D109DC"/>
    <w:rsid w:val="00D1588F"/>
    <w:rsid w:val="00D25A6F"/>
    <w:rsid w:val="00D405CB"/>
    <w:rsid w:val="00D40AA8"/>
    <w:rsid w:val="00D629E4"/>
    <w:rsid w:val="00D76B02"/>
    <w:rsid w:val="00D9218C"/>
    <w:rsid w:val="00DB4647"/>
    <w:rsid w:val="00DB75FF"/>
    <w:rsid w:val="00DD1F84"/>
    <w:rsid w:val="00DF3110"/>
    <w:rsid w:val="00DF492F"/>
    <w:rsid w:val="00E05E10"/>
    <w:rsid w:val="00E1718F"/>
    <w:rsid w:val="00E20401"/>
    <w:rsid w:val="00E2062E"/>
    <w:rsid w:val="00E320C2"/>
    <w:rsid w:val="00E350BC"/>
    <w:rsid w:val="00E538C7"/>
    <w:rsid w:val="00E5406D"/>
    <w:rsid w:val="00E85150"/>
    <w:rsid w:val="00EA28DF"/>
    <w:rsid w:val="00EB00F6"/>
    <w:rsid w:val="00EF46AA"/>
    <w:rsid w:val="00F06EBC"/>
    <w:rsid w:val="00F1059A"/>
    <w:rsid w:val="00F30438"/>
    <w:rsid w:val="00F6238A"/>
    <w:rsid w:val="00F743F0"/>
    <w:rsid w:val="00F9422A"/>
    <w:rsid w:val="00FB2F44"/>
    <w:rsid w:val="00FC1D75"/>
    <w:rsid w:val="00FD3605"/>
    <w:rsid w:val="00FE44B2"/>
    <w:rsid w:val="00FF11B9"/>
    <w:rsid w:val="00FF2978"/>
    <w:rsid w:val="176E70D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Emphasis"/>
    <w:basedOn w:val="5"/>
    <w:qFormat/>
    <w:uiPriority w:val="20"/>
  </w:style>
  <w:style w:type="character" w:customStyle="1" w:styleId="7">
    <w:name w:val="页眉 Char"/>
    <w:basedOn w:val="5"/>
    <w:link w:val="3"/>
    <w:semiHidden/>
    <w:uiPriority w:val="99"/>
    <w:rPr>
      <w:sz w:val="18"/>
      <w:szCs w:val="18"/>
    </w:rPr>
  </w:style>
  <w:style w:type="character" w:customStyle="1" w:styleId="8">
    <w:name w:val="页脚 Char"/>
    <w:basedOn w:val="5"/>
    <w:link w:val="2"/>
    <w:uiPriority w:val="99"/>
    <w:rPr>
      <w:sz w:val="18"/>
      <w:szCs w:val="18"/>
    </w:rPr>
  </w:style>
  <w:style w:type="paragraph" w:customStyle="1" w:styleId="9">
    <w:name w:val="正文文本1"/>
    <w:basedOn w:val="1"/>
    <w:uiPriority w:val="0"/>
    <w:pPr>
      <w:spacing w:before="93"/>
    </w:pPr>
    <w:rPr>
      <w:rFonts w:ascii="仿宋_GB2312" w:hAnsi="仿宋_GB2312" w:eastAsia="仿宋_GB2312" w:cs="Times New Roman"/>
      <w:kern w:val="0"/>
      <w:sz w:val="30"/>
      <w:szCs w:val="20"/>
    </w:rPr>
  </w:style>
  <w:style w:type="character" w:customStyle="1" w:styleId="10">
    <w:name w:val="默认段落字体1"/>
    <w:uiPriority w:val="0"/>
    <w:rPr>
      <w:sz w:val="22"/>
    </w:rPr>
  </w:style>
  <w:style w:type="paragraph" w:styleId="11">
    <w:name w:val="List Paragraph"/>
    <w:basedOn w:val="1"/>
    <w:qFormat/>
    <w:uiPriority w:val="34"/>
    <w:pPr>
      <w:ind w:firstLine="420" w:firstLineChars="200"/>
    </w:pPr>
  </w:style>
  <w:style w:type="paragraph" w:styleId="12">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550B00-4313-46DA-B013-8F5247134477}">
  <ds:schemaRefs/>
</ds:datastoreItem>
</file>

<file path=docProps/app.xml><?xml version="1.0" encoding="utf-8"?>
<Properties xmlns="http://schemas.openxmlformats.org/officeDocument/2006/extended-properties" xmlns:vt="http://schemas.openxmlformats.org/officeDocument/2006/docPropsVTypes">
  <Template>Normal</Template>
  <Pages>13</Pages>
  <Words>856</Words>
  <Characters>4884</Characters>
  <Lines>40</Lines>
  <Paragraphs>11</Paragraphs>
  <TotalTime>480</TotalTime>
  <ScaleCrop>false</ScaleCrop>
  <LinksUpToDate>false</LinksUpToDate>
  <CharactersWithSpaces>5729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2020-02-14T08:12:00Z</dcterms:created>
  <dc:creator>薛永萍</dc:creator>
  <cp:lastModifiedBy>admin</cp:lastModifiedBy>
  <cp:lastPrinted>2021-02-04T08:19:00Z</cp:lastPrinted>
  <dcterms:modified xsi:type="dcterms:W3CDTF">2021-02-05T01:55:31Z</dcterms:modified>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